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e-earnings-predictions--2026-08-04"/>
    <w:p>
      <w:pPr>
        <w:pStyle w:val="Heading1"/>
      </w:pPr>
      <w:r>
        <w:t xml:space="preserve">AME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~$2.03 vs. cons $2.00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~$1.95B vs. cons $1.94B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~31.8% vs. cons 31.4%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~$8.06 vs. cons $8.10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~$2.06 vs. cons $2.09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vs. cons 5.0%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-3.2% (FOLLOW-THROUGH)</w:t>
            </w:r>
          </w:p>
        </w:tc>
        <w:tc>
          <w:tcPr/>
          <w:p>
            <w:pPr>
              <w:pStyle w:val="Compact"/>
            </w:pPr>
            <w:r>
              <w:t xml:space="preserve">A modest quarterly EPS and margin beat is likely outweighed by FY26 EPS guidance of ~</w:t>
            </w:r>
            <m:oMath>
              <m:r>
                <m:t>8.06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8.10 consensus and 3Q26 EPS guidance of ~</w:t>
            </w:r>
            <m:oMath>
              <m:r>
                <m:t>2.06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2.09 consensus; the implied out-period shortfall should drive estimate cuts despite unchanged ~5.0% FY26 organic-growth guidance.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2026-08-04T00:34:55Z</dcterms:created>
  <dcterms:modified xsi:type="dcterms:W3CDTF">2026-08-04T00:34:55Z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