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ametek-nyse-ame--2q26-earnings-preview"/>
    <w:p>
      <w:pPr>
        <w:pStyle w:val="Heading1"/>
      </w:pPr>
      <w:r>
        <w:t xml:space="preserve">AMETEK (NYSE: AME) — 2Q26 Earnings Preview</w:t>
      </w:r>
    </w:p>
    <w:p>
      <w:pPr>
        <w:pStyle w:val="BlockText"/>
      </w:pPr>
      <w:r>
        <w:rPr>
          <w:b/>
          <w:bCs/>
        </w:rPr>
        <w:t xml:space="preserve">Date clarification:</w:t>
      </w:r>
      <w:r>
        <w:t xml:space="preserve"> </w:t>
      </w:r>
      <w:r>
        <w:t xml:space="preserve">Today is</w:t>
      </w:r>
      <w:r>
        <w:t xml:space="preserve"> </w:t>
      </w:r>
      <w:r>
        <w:rPr>
          <w:b/>
          <w:bCs/>
        </w:rPr>
        <w:t xml:space="preserve">Tuesday, August 4, 2026</w:t>
      </w:r>
      <w:r>
        <w:t xml:space="preserve">. The stated</w:t>
      </w:r>
      <w:r>
        <w:t xml:space="preserve"> </w:t>
      </w:r>
      <w:r>
        <w:rPr>
          <w:b/>
          <w:bCs/>
        </w:rPr>
        <w:t xml:space="preserve">August 4, 2026</w:t>
      </w:r>
      <w:r>
        <w:t xml:space="preserve"> </w:t>
      </w:r>
      <w:r>
        <w:t xml:space="preserve">earnings event is therefore</w:t>
      </w:r>
      <w:r>
        <w:t xml:space="preserve"> </w:t>
      </w:r>
      <w:r>
        <w:rPr>
          <w:i/>
          <w:iCs/>
        </w:rPr>
        <w:t xml:space="preserve">today</w:t>
      </w:r>
      <w:r>
        <w:t xml:space="preserve">, not tomorrow. This preview is framed as a pre-results note using the company’s prior guidance and information available through the August 3 market close.</w:t>
      </w:r>
    </w:p>
    <w:bookmarkStart w:id="9" w:name="X592937dce8c4577435be3fb3e775c2eae2e74d5"/>
    <w:p>
      <w:pPr>
        <w:pStyle w:val="Heading2"/>
      </w:pPr>
      <w:r>
        <w:t xml:space="preserve">The setup: a high-quality execution story with a high bar</w:t>
      </w:r>
    </w:p>
    <w:p>
      <w:pPr>
        <w:pStyle w:val="FirstParagraph"/>
      </w:pPr>
      <w:r>
        <w:t xml:space="preserve">AMETEK enters 2Q26 earnings with substantial operating momentum. In 1Q, it delivered</w:t>
      </w:r>
      <w:r>
        <w:t xml:space="preserve"> </w:t>
      </w:r>
      <w:r>
        <w:rPr>
          <w:b/>
          <w:bCs/>
        </w:rPr>
        <w:t xml:space="preserve">11% sales growth</w:t>
      </w:r>
      <w:r>
        <w:t xml:space="preserve">,</w:t>
      </w:r>
      <w:r>
        <w:t xml:space="preserve"> </w:t>
      </w:r>
      <w:r>
        <w:rPr>
          <w:b/>
          <w:bCs/>
        </w:rPr>
        <w:t xml:space="preserve">5% organic growth</w:t>
      </w:r>
      <w:r>
        <w:t xml:space="preserve">,</w:t>
      </w:r>
      <w:r>
        <w:t xml:space="preserve"> </w:t>
      </w:r>
      <w:r>
        <w:rPr>
          <w:b/>
          <w:bCs/>
        </w:rPr>
        <w:t xml:space="preserve">13% adjusted EPS growth</w:t>
      </w:r>
      <w:r>
        <w:t xml:space="preserve">, and a</w:t>
      </w:r>
      <w:r>
        <w:t xml:space="preserve"> </w:t>
      </w:r>
      <w:r>
        <w:rPr>
          <w:b/>
          <w:bCs/>
        </w:rPr>
        <w:t xml:space="preserve">160 bp expansion in core operating margin</w:t>
      </w:r>
      <w:r>
        <w:t xml:space="preserve">. More importantly, orders rose</w:t>
      </w:r>
      <w:r>
        <w:t xml:space="preserve"> </w:t>
      </w:r>
      <w:r>
        <w:rPr>
          <w:b/>
          <w:bCs/>
        </w:rPr>
        <w:t xml:space="preserve">23%</w:t>
      </w:r>
      <w:r>
        <w:t xml:space="preserve"> </w:t>
      </w:r>
      <w:r>
        <w:t xml:space="preserve">(</w:t>
      </w:r>
      <w:r>
        <w:rPr>
          <w:b/>
          <w:bCs/>
        </w:rPr>
        <w:t xml:space="preserve">22% organically</w:t>
      </w:r>
      <w:r>
        <w:t xml:space="preserve">) to a record</w:t>
      </w:r>
      <w:r>
        <w:t xml:space="preserve"> </w:t>
      </w:r>
      <m:oMath>
        <m:r>
          <m:t>2.22</m:t>
        </m:r>
        <m:r>
          <m:t>b</m:t>
        </m:r>
        <m:r>
          <m:t>i</m:t>
        </m:r>
        <m:r>
          <m:t>l</m:t>
        </m:r>
        <m:r>
          <m:t>l</m:t>
        </m:r>
        <m:r>
          <m:t>i</m:t>
        </m:r>
        <m:r>
          <m:t>o</m:t>
        </m:r>
        <m:r>
          <m:t>n</m:t>
        </m:r>
        <m:r>
          <m:rPr>
            <m:sty m:val="p"/>
          </m:rPr>
          <m:t>*</m:t>
        </m:r>
        <m:r>
          <m:rPr>
            <m:sty m:val="p"/>
          </m:rPr>
          <m:t>*</m:t>
        </m:r>
        <m:r>
          <m:rPr>
            <m:sty m:val="p"/>
          </m:rPr>
          <m:t>,</m:t>
        </m:r>
        <m:r>
          <m:t>p</m:t>
        </m:r>
        <m:r>
          <m:t>r</m:t>
        </m:r>
        <m:r>
          <m:t>o</m:t>
        </m:r>
        <m:r>
          <m:t>d</m:t>
        </m:r>
        <m:r>
          <m:t>u</m:t>
        </m:r>
        <m:r>
          <m:t>c</m:t>
        </m:r>
        <m:r>
          <m:t>i</m:t>
        </m:r>
        <m:r>
          <m:t>n</m:t>
        </m:r>
        <m:r>
          <m:t>g</m:t>
        </m:r>
        <m:r>
          <m:t>a</m:t>
        </m:r>
        <m:r>
          <m:t>r</m:t>
        </m:r>
        <m:r>
          <m:t>e</m:t>
        </m:r>
        <m:r>
          <m:t>c</m:t>
        </m:r>
        <m:r>
          <m:t>o</m:t>
        </m:r>
        <m:r>
          <m:t>r</m:t>
        </m:r>
        <m:r>
          <m:t>d</m:t>
        </m:r>
        <m:r>
          <m:rPr>
            <m:sty m:val="p"/>
          </m:rPr>
          <m:t>*</m:t>
        </m:r>
        <m:r>
          <m:rPr>
            <m:sty m:val="p"/>
          </m:rPr>
          <m:t>*</m:t>
        </m:r>
      </m:oMath>
      <w:r>
        <w:rPr>
          <w:b/>
          <w:bCs/>
        </w:rPr>
        <w:t xml:space="preserve">3.87 billion backlog</w:t>
      </w:r>
      <w:r>
        <w:t xml:space="preserve">.</w:t>
      </w:r>
    </w:p>
    <w:p>
      <w:pPr>
        <w:pStyle w:val="BodyText"/>
      </w:pPr>
      <w:r>
        <w:t xml:space="preserve">The immediate earnings question is therefore not whether AMETEK can post good numbers—it is whether it can demonstrate that the exceptional 1Q order performance, particularly across aerospace &amp; defense, power, process instrumentation, automation, and semiconductor-related applications, is converting into a sustainably stronger second-half outlook.</w:t>
      </w:r>
    </w:p>
    <w:p>
      <w:pPr>
        <w:pStyle w:val="BodyText"/>
      </w:pPr>
      <w:r>
        <w:t xml:space="preserve">Management’s formal 2Q guide calls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company guidance</w:t>
            </w:r>
          </w:p>
        </w:tc>
        <w:tc>
          <w:tcPr/>
          <w:p>
            <w:pPr>
              <w:pStyle w:val="Compact"/>
              <w:jc w:val="right"/>
            </w:pPr>
            <w:r>
              <w:t xml:space="preserve">2Q25 actual</w:t>
            </w:r>
          </w:p>
        </w:tc>
        <w:tc>
          <w:tcPr/>
          <w:p>
            <w:pPr>
              <w:pStyle w:val="Compact"/>
              <w:jc w:val="right"/>
            </w:pPr>
            <w:r>
              <w:t xml:space="preserve">Implied y/y change</w:t>
            </w:r>
          </w:p>
        </w:tc>
      </w:tr>
      <w:tr>
        <w:tc>
          <w:tcPr/>
          <w:p>
            <w:pPr>
              <w:pStyle w:val="Compact"/>
            </w:pPr>
            <w:r>
              <w:t xml:space="preserve">Sales</w:t>
            </w:r>
          </w:p>
        </w:tc>
        <w:tc>
          <w:tcPr/>
          <w:p>
            <w:pPr>
              <w:pStyle w:val="Compact"/>
              <w:jc w:val="right"/>
            </w:pPr>
            <w:r>
              <w:t xml:space="preserve">“High single digits” growth</w:t>
            </w:r>
          </w:p>
        </w:tc>
        <w:tc>
          <w:tcPr/>
          <w:p>
            <w:pPr>
              <w:pStyle w:val="Compact"/>
              <w:jc w:val="right"/>
            </w:pPr>
            <w:r>
              <w:t xml:space="preserve">$1.78B</w:t>
            </w:r>
          </w:p>
        </w:tc>
        <w:tc>
          <w:tcPr/>
          <w:p>
            <w:pPr>
              <w:pStyle w:val="Compact"/>
              <w:jc w:val="right"/>
            </w:pPr>
            <w:r>
              <w:t xml:space="preserve">Roughly</w:t>
            </w:r>
            <w:r>
              <w:t xml:space="preserve"> </w:t>
            </w:r>
            <m:oMath>
              <m:r>
                <m:t>1.92</m:t>
              </m:r>
              <m:r>
                <m:t>B</m:t>
              </m:r>
              <m:r>
                <m:rPr>
                  <m:sty m:val="p"/>
                </m:rPr>
                <m:t>–</m:t>
              </m:r>
            </m:oMath>
            <w:r>
              <w:t xml:space="preserve">1.94B, depending on definition</w:t>
            </w:r>
          </w:p>
        </w:tc>
      </w:tr>
      <w:tr>
        <w:tc>
          <w:tcPr/>
          <w:p>
            <w:pPr>
              <w:pStyle w:val="Compact"/>
            </w:pPr>
            <w:r>
              <w:t xml:space="preserve">Adjusted EPS</w:t>
            </w:r>
          </w:p>
        </w:tc>
        <w:tc>
          <w:tcPr/>
          <w:p>
            <w:pPr>
              <w:pStyle w:val="Compact"/>
              <w:jc w:val="right"/>
            </w:pPr>
            <m:oMath>
              <m:r>
                <m:t>1.96</m:t>
              </m:r>
              <m:r>
                <m:rPr>
                  <m:sty m:val="p"/>
                </m:rPr>
                <m:t>–</m:t>
              </m:r>
            </m:oMath>
            <w:r>
              <w:rPr>
                <w:b/>
                <w:bCs/>
              </w:rPr>
              <w:t xml:space="preserve">2.00</w:t>
            </w:r>
          </w:p>
        </w:tc>
        <w:tc>
          <w:tcPr/>
          <w:p>
            <w:pPr>
              <w:pStyle w:val="Compact"/>
              <w:jc w:val="right"/>
            </w:pPr>
            <w:r>
              <w:t xml:space="preserve">$1.78</w:t>
            </w:r>
          </w:p>
        </w:tc>
        <w:tc>
          <w:tcPr/>
          <w:p>
            <w:pPr>
              <w:pStyle w:val="Compact"/>
              <w:jc w:val="right"/>
            </w:pPr>
            <w:r>
              <w:rPr>
                <w:b/>
                <w:bCs/>
              </w:rPr>
              <w:t xml:space="preserve">+10% to +12%</w:t>
            </w:r>
          </w:p>
        </w:tc>
      </w:tr>
      <w:tr>
        <w:tc>
          <w:tcPr/>
          <w:p>
            <w:pPr>
              <w:pStyle w:val="Compact"/>
            </w:pPr>
            <w:r>
              <w:t xml:space="preserve">Full-year adjusted EPS</w:t>
            </w:r>
          </w:p>
        </w:tc>
        <w:tc>
          <w:tcPr/>
          <w:p>
            <w:pPr>
              <w:pStyle w:val="Compact"/>
              <w:jc w:val="right"/>
            </w:pPr>
            <m:oMath>
              <m:r>
                <m:t>7.94</m:t>
              </m:r>
              <m:r>
                <m:rPr>
                  <m:sty m:val="p"/>
                </m:rPr>
                <m:t>–</m:t>
              </m:r>
            </m:oMath>
            <w:r>
              <w:rPr>
                <w:b/>
                <w:bCs/>
              </w:rPr>
              <w:t xml:space="preserve">8.14</w:t>
            </w:r>
          </w:p>
        </w:tc>
        <w:tc>
          <w:tcPr/>
          <w:p>
            <w:pPr>
              <w:pStyle w:val="Compact"/>
              <w:jc w:val="right"/>
            </w:pPr>
            <w:r>
              <w:t xml:space="preserve">—</w:t>
            </w:r>
          </w:p>
        </w:tc>
        <w:tc>
          <w:tcPr/>
          <w:p>
            <w:pPr>
              <w:pStyle w:val="Compact"/>
              <w:jc w:val="right"/>
            </w:pPr>
            <w:r>
              <w:t xml:space="preserve">+7% to +10% on comparable basis</w:t>
            </w:r>
          </w:p>
        </w:tc>
      </w:tr>
      <w:tr>
        <w:tc>
          <w:tcPr/>
          <w:p>
            <w:pPr>
              <w:pStyle w:val="Compact"/>
            </w:pPr>
            <w:r>
              <w:t xml:space="preserve">Full-year organic sales</w:t>
            </w:r>
          </w:p>
        </w:tc>
        <w:tc>
          <w:tcPr/>
          <w:p>
            <w:pPr>
              <w:pStyle w:val="Compact"/>
              <w:jc w:val="right"/>
            </w:pPr>
            <w:r>
              <w:t xml:space="preserve">Mid-single-digit growth</w:t>
            </w:r>
          </w:p>
        </w:tc>
        <w:tc>
          <w:tcPr/>
          <w:p>
            <w:pPr>
              <w:pStyle w:val="Compact"/>
              <w:jc w:val="right"/>
            </w:pPr>
            <w:r>
              <w:t xml:space="preserve">—</w:t>
            </w:r>
          </w:p>
        </w:tc>
        <w:tc>
          <w:tcPr/>
          <w:p>
            <w:pPr>
              <w:pStyle w:val="Compact"/>
              <w:jc w:val="right"/>
            </w:pPr>
            <w:r>
              <w:t xml:space="preserve">Raised in 1Q</w:t>
            </w:r>
          </w:p>
        </w:tc>
      </w:tr>
    </w:tbl>
    <w:p>
      <w:pPr>
        <w:pStyle w:val="BodyText"/>
      </w:pPr>
      <w:r>
        <w:t xml:space="preserve">The midpoint of the 2Q EPS guide is</w:t>
      </w:r>
      <w:r>
        <w:t xml:space="preserve"> </w:t>
      </w:r>
      <m:oMath>
        <m:r>
          <m:t>1.98</m:t>
        </m:r>
        <m:r>
          <m:rPr>
            <m:sty m:val="p"/>
          </m:rPr>
          <m:t>*</m:t>
        </m:r>
        <m:r>
          <m:rPr>
            <m:sty m:val="p"/>
          </m:rPr>
          <m:t>*</m:t>
        </m:r>
        <m:r>
          <m:rPr>
            <m:sty m:val="p"/>
          </m:rPr>
          <m:t>,</m:t>
        </m:r>
        <m:r>
          <m:t>w</m:t>
        </m:r>
        <m:r>
          <m:t>h</m:t>
        </m:r>
        <m:r>
          <m:t>i</m:t>
        </m:r>
        <m:r>
          <m:t>l</m:t>
        </m:r>
        <m:r>
          <m:t>e</m:t>
        </m:r>
        <m:r>
          <m:t>t</m:t>
        </m:r>
        <m:r>
          <m:t>h</m:t>
        </m:r>
        <m:r>
          <m:t>e</m:t>
        </m:r>
        <m:r>
          <m:t>m</m:t>
        </m:r>
        <m:r>
          <m:t>i</m:t>
        </m:r>
        <m:r>
          <m:t>d</m:t>
        </m:r>
        <m:r>
          <m:t>p</m:t>
        </m:r>
        <m:r>
          <m:t>o</m:t>
        </m:r>
        <m:r>
          <m:t>i</m:t>
        </m:r>
        <m:r>
          <m:t>n</m:t>
        </m:r>
        <m:r>
          <m:t>t</m:t>
        </m:r>
        <m:r>
          <m:t>o</m:t>
        </m:r>
        <m:r>
          <m:t>f</m:t>
        </m:r>
        <m:r>
          <m:t>f</m:t>
        </m:r>
        <m:r>
          <m:t>u</m:t>
        </m:r>
        <m:r>
          <m:t>l</m:t>
        </m:r>
        <m:r>
          <m:t>l</m:t>
        </m:r>
        <m:r>
          <m:rPr>
            <m:sty m:val="p"/>
          </m:rPr>
          <m:t>−</m:t>
        </m:r>
        <m:r>
          <m:t>y</m:t>
        </m:r>
        <m:r>
          <m:t>e</m:t>
        </m:r>
        <m:r>
          <m:t>a</m:t>
        </m:r>
        <m:r>
          <m:t>r</m:t>
        </m:r>
        <m:r>
          <m:t>g</m:t>
        </m:r>
        <m:r>
          <m:t>u</m:t>
        </m:r>
        <m:r>
          <m:t>i</m:t>
        </m:r>
        <m:r>
          <m:t>d</m:t>
        </m:r>
        <m:r>
          <m:t>a</m:t>
        </m:r>
        <m:r>
          <m:t>n</m:t>
        </m:r>
        <m:r>
          <m:t>c</m:t>
        </m:r>
        <m:r>
          <m:t>e</m:t>
        </m:r>
        <m:r>
          <m:t>i</m:t>
        </m:r>
        <m:r>
          <m:t>s</m:t>
        </m:r>
        <m:r>
          <m:rPr>
            <m:sty m:val="p"/>
          </m:rPr>
          <m:t>*</m:t>
        </m:r>
        <m:r>
          <m:rPr>
            <m:sty m:val="p"/>
          </m:rPr>
          <m:t>*</m:t>
        </m:r>
      </m:oMath>
      <w:r>
        <w:rPr>
          <w:b/>
          <w:bCs/>
        </w:rPr>
        <w:t xml:space="preserve">8.04</w:t>
      </w:r>
      <w:r>
        <w:t xml:space="preserve">.</w:t>
      </w:r>
    </w:p>
    <w:bookmarkEnd w:id="9"/>
    <w:bookmarkStart w:id="13" w:name="what-matters-most-in-the-print"/>
    <w:p>
      <w:pPr>
        <w:pStyle w:val="Heading2"/>
      </w:pPr>
      <w:r>
        <w:t xml:space="preserve">What matters most in the print</w:t>
      </w:r>
    </w:p>
    <w:bookmarkStart w:id="10" w:name="Xce861b0bc2a85a6f0f84c67757913491804fb1a"/>
    <w:p>
      <w:pPr>
        <w:pStyle w:val="Heading3"/>
      </w:pPr>
      <w:r>
        <w:t xml:space="preserve">1. Organic growth: can AMETEK sustain mid-single-digit growth?</w:t>
      </w:r>
    </w:p>
    <w:p>
      <w:pPr>
        <w:pStyle w:val="FirstParagraph"/>
      </w:pPr>
      <w:r>
        <w:t xml:space="preserve">The most important headline beyond EPS will be organic sales. AMETEK’s 1Q reported growth benefited from acquisitions and foreign exchange: organic sales were</w:t>
      </w:r>
      <w:r>
        <w:t xml:space="preserve"> </w:t>
      </w:r>
      <w:r>
        <w:rPr>
          <w:b/>
          <w:bCs/>
        </w:rPr>
        <w:t xml:space="preserve">+5%</w:t>
      </w:r>
      <w:r>
        <w:t xml:space="preserve">, while acquisitions and FX supplied the balance of the 11% reported increase.</w:t>
      </w:r>
    </w:p>
    <w:p>
      <w:pPr>
        <w:pStyle w:val="BodyText"/>
      </w:pPr>
      <w:r>
        <w:t xml:space="preserve">Investors should focus on whether 2Q organic growth remains around the company’s full-year</w:t>
      </w:r>
      <w:r>
        <w:t xml:space="preserve"> </w:t>
      </w:r>
      <w:r>
        <w:rPr>
          <w:b/>
          <w:bCs/>
        </w:rPr>
        <w:t xml:space="preserve">mid-single-digit</w:t>
      </w:r>
      <w:r>
        <w:t xml:space="preserve"> </w:t>
      </w:r>
      <w:r>
        <w:t xml:space="preserve">objective. The order book supports a constructive outlook, but the mix matters:</w:t>
      </w:r>
    </w:p>
    <w:p>
      <w:pPr>
        <w:pStyle w:val="Compact"/>
        <w:numPr>
          <w:ilvl w:val="0"/>
          <w:numId w:val="1001"/>
        </w:numPr>
      </w:pPr>
      <w:r>
        <w:rPr>
          <w:b/>
          <w:bCs/>
        </w:rPr>
        <w:t xml:space="preserve">EIG</w:t>
      </w:r>
      <w:r>
        <w:t xml:space="preserve"> </w:t>
      </w:r>
      <w:r>
        <w:t xml:space="preserve">posted only</w:t>
      </w:r>
      <w:r>
        <w:t xml:space="preserve"> </w:t>
      </w:r>
      <w:r>
        <w:rPr>
          <w:b/>
          <w:bCs/>
        </w:rPr>
        <w:t xml:space="preserve">2% organic growth</w:t>
      </w:r>
      <w:r>
        <w:t xml:space="preserve"> </w:t>
      </w:r>
      <w:r>
        <w:t xml:space="preserve">in 1Q, although it generated</w:t>
      </w:r>
      <w:r>
        <w:t xml:space="preserve"> </w:t>
      </w:r>
      <w:r>
        <w:rPr>
          <w:b/>
          <w:bCs/>
        </w:rPr>
        <w:t xml:space="preserve">25% organic order growth</w:t>
      </w:r>
      <w:r>
        <w:t xml:space="preserve">.</w:t>
      </w:r>
    </w:p>
    <w:p>
      <w:pPr>
        <w:pStyle w:val="Compact"/>
        <w:numPr>
          <w:ilvl w:val="0"/>
          <w:numId w:val="1001"/>
        </w:numPr>
      </w:pPr>
      <w:r>
        <w:rPr>
          <w:b/>
          <w:bCs/>
        </w:rPr>
        <w:t xml:space="preserve">EMG</w:t>
      </w:r>
      <w:r>
        <w:t xml:space="preserve"> </w:t>
      </w:r>
      <w:r>
        <w:t xml:space="preserve">posted</w:t>
      </w:r>
      <w:r>
        <w:t xml:space="preserve"> </w:t>
      </w:r>
      <w:r>
        <w:rPr>
          <w:b/>
          <w:bCs/>
        </w:rPr>
        <w:t xml:space="preserve">11% organic sales growth</w:t>
      </w:r>
      <w:r>
        <w:t xml:space="preserve"> </w:t>
      </w:r>
      <w:r>
        <w:t xml:space="preserve">and</w:t>
      </w:r>
      <w:r>
        <w:t xml:space="preserve"> </w:t>
      </w:r>
      <w:r>
        <w:rPr>
          <w:b/>
          <w:bCs/>
        </w:rPr>
        <w:t xml:space="preserve">16% organic order growth</w:t>
      </w:r>
      <w:r>
        <w:t xml:space="preserve"> </w:t>
      </w:r>
      <w:r>
        <w:t xml:space="preserve">in 1Q, making comparisons progressively more demanding later in 2026.</w:t>
      </w:r>
    </w:p>
    <w:p>
      <w:pPr>
        <w:pStyle w:val="Compact"/>
        <w:numPr>
          <w:ilvl w:val="0"/>
          <w:numId w:val="1001"/>
        </w:numPr>
      </w:pPr>
      <w:r>
        <w:t xml:space="preserve">In 2Q25, company sales were $1.78 billion, with EIG at $1.16 billion and EMG at $619 million. That establishes a manageable reported-growth comparison, but the underlying organic-growth composition will drive the market’s reaction.</w:t>
      </w:r>
    </w:p>
    <w:p>
      <w:pPr>
        <w:pStyle w:val="FirstParagraph"/>
      </w:pPr>
      <w:r>
        <w:t xml:space="preserve">A favorable outcome would be EIG organic growth beginning to catch up to its strong bookings, while EMG continues to grow at a healthy rate despite tougher comparisons.</w:t>
      </w:r>
    </w:p>
    <w:bookmarkEnd w:id="10"/>
    <w:bookmarkStart w:id="11" w:name="X4b1f233f6b369f1d66bc9ca0f60448b6740e973"/>
    <w:p>
      <w:pPr>
        <w:pStyle w:val="Heading3"/>
      </w:pPr>
      <w:r>
        <w:t xml:space="preserve">2. Orders, book-to-bill, and backlog conversion</w:t>
      </w:r>
    </w:p>
    <w:p>
      <w:pPr>
        <w:pStyle w:val="FirstParagraph"/>
      </w:pPr>
      <w:r>
        <w:t xml:space="preserve">The 1Q book-to-bill was approximately</w:t>
      </w:r>
      <w:r>
        <w:t xml:space="preserve"> </w:t>
      </w:r>
      <w:r>
        <w:rPr>
          <w:b/>
          <w:bCs/>
        </w:rPr>
        <w:t xml:space="preserve">1.15x</w:t>
      </w:r>
      <w:r>
        <w:t xml:space="preserve"> </w:t>
      </w:r>
      <w:r>
        <w:t xml:space="preserve">($2.22 billion of orders versus $1.93 billion of sales). That was unusually strong and reflected broad-based demand rather than a single isolated program, although several large orders helped.</w:t>
      </w:r>
    </w:p>
    <w:p>
      <w:pPr>
        <w:pStyle w:val="BodyText"/>
      </w:pPr>
      <w:r>
        <w:t xml:space="preserve">Management specifically highlighted strength in:</w:t>
      </w:r>
    </w:p>
    <w:p>
      <w:pPr>
        <w:pStyle w:val="Compact"/>
        <w:numPr>
          <w:ilvl w:val="0"/>
          <w:numId w:val="1002"/>
        </w:numPr>
      </w:pPr>
      <w:r>
        <w:rPr>
          <w:b/>
          <w:bCs/>
        </w:rPr>
        <w:t xml:space="preserve">Defense:</w:t>
      </w:r>
      <w:r>
        <w:t xml:space="preserve"> </w:t>
      </w:r>
      <w:r>
        <w:t xml:space="preserve">missile defense, UAVs, naval programs, nuclear submarines, and defense MRO.</w:t>
      </w:r>
    </w:p>
    <w:p>
      <w:pPr>
        <w:pStyle w:val="Compact"/>
        <w:numPr>
          <w:ilvl w:val="0"/>
          <w:numId w:val="1002"/>
        </w:numPr>
      </w:pPr>
      <w:r>
        <w:rPr>
          <w:b/>
          <w:bCs/>
        </w:rPr>
        <w:t xml:space="preserve">Commercial aerospace and aftermarket:</w:t>
      </w:r>
      <w:r>
        <w:t xml:space="preserve"> </w:t>
      </w:r>
      <w:r>
        <w:t xml:space="preserve">generally healthy, although management has been watching international commercial aftermarket exposure.</w:t>
      </w:r>
    </w:p>
    <w:p>
      <w:pPr>
        <w:pStyle w:val="Compact"/>
        <w:numPr>
          <w:ilvl w:val="0"/>
          <w:numId w:val="1002"/>
        </w:numPr>
      </w:pPr>
      <w:r>
        <w:rPr>
          <w:b/>
          <w:bCs/>
        </w:rPr>
        <w:t xml:space="preserve">Power and data-center infrastructure:</w:t>
      </w:r>
      <w:r>
        <w:t xml:space="preserve"> </w:t>
      </w:r>
      <w:r>
        <w:t xml:space="preserve">backup power, microgrids, power simulation, and data-center testing.</w:t>
      </w:r>
    </w:p>
    <w:p>
      <w:pPr>
        <w:pStyle w:val="Compact"/>
        <w:numPr>
          <w:ilvl w:val="0"/>
          <w:numId w:val="1002"/>
        </w:numPr>
      </w:pPr>
      <w:r>
        <w:rPr>
          <w:b/>
          <w:bCs/>
        </w:rPr>
        <w:t xml:space="preserve">Semiconductor capital equipment:</w:t>
      </w:r>
      <w:r>
        <w:t xml:space="preserve"> </w:t>
      </w:r>
      <w:r>
        <w:t xml:space="preserve">including computing solutions linked to AI-driven tool demand.</w:t>
      </w:r>
    </w:p>
    <w:p>
      <w:pPr>
        <w:pStyle w:val="Compact"/>
        <w:numPr>
          <w:ilvl w:val="0"/>
          <w:numId w:val="1002"/>
        </w:numPr>
      </w:pPr>
      <w:r>
        <w:rPr>
          <w:b/>
          <w:bCs/>
        </w:rPr>
        <w:t xml:space="preserve">Process and analytical instrumentation:</w:t>
      </w:r>
      <w:r>
        <w:t xml:space="preserve"> </w:t>
      </w:r>
      <w:r>
        <w:t xml:space="preserve">an area where management described a meaningful order inflection.</w:t>
      </w:r>
    </w:p>
    <w:p>
      <w:pPr>
        <w:pStyle w:val="FirstParagraph"/>
      </w:pPr>
      <w:r>
        <w:t xml:space="preserve">The key question on the call:</w:t>
      </w:r>
      <w:r>
        <w:t xml:space="preserve"> </w:t>
      </w:r>
      <w:r>
        <w:rPr>
          <w:b/>
          <w:bCs/>
        </w:rPr>
        <w:t xml:space="preserve">Was 1Q’s order strength durable, or did it pull forward demand?</w:t>
      </w:r>
      <w:r>
        <w:t xml:space="preserve"> </w:t>
      </w:r>
      <w:r>
        <w:t xml:space="preserve">Management explicitly said it did</w:t>
      </w:r>
      <w:r>
        <w:t xml:space="preserve"> </w:t>
      </w:r>
      <w:r>
        <w:rPr>
          <w:i/>
          <w:iCs/>
        </w:rPr>
        <w:t xml:space="preserve">not</w:t>
      </w:r>
      <w:r>
        <w:t xml:space="preserve"> </w:t>
      </w:r>
      <w:r>
        <w:t xml:space="preserve">view the 1Q results as meaningful pull-forward. Confirmation through another positive book-to-bill and backlog growth would materially reinforce the 2026 setup.</w:t>
      </w:r>
    </w:p>
    <w:bookmarkEnd w:id="11"/>
    <w:bookmarkStart w:id="12" w:name="X3d19bf0a8df520e7b89485e81db25b9d289a99d"/>
    <w:p>
      <w:pPr>
        <w:pStyle w:val="Heading3"/>
      </w:pPr>
      <w:r>
        <w:t xml:space="preserve">3. Margin progression: the quality of the beat matters</w:t>
      </w:r>
    </w:p>
    <w:p>
      <w:pPr>
        <w:pStyle w:val="FirstParagraph"/>
      </w:pPr>
      <w:r>
        <w:t xml:space="preserve">AMETEK’s investment case depends heavily on its ability to pair modest-to-strong organic growth with operating leverage. In 1Q, core operating margin expanded</w:t>
      </w:r>
      <w:r>
        <w:t xml:space="preserve"> </w:t>
      </w:r>
      <w:r>
        <w:rPr>
          <w:b/>
          <w:bCs/>
        </w:rPr>
        <w:t xml:space="preserve">160 bp</w:t>
      </w:r>
      <w:r>
        <w:t xml:space="preserve">, supported by productivity and particularly strong EMG leverage.</w:t>
      </w:r>
    </w:p>
    <w:p>
      <w:pPr>
        <w:pStyle w:val="BodyText"/>
      </w:pPr>
      <w:r>
        <w:t xml:space="preserve">For 2026, management’s framework implies:</w:t>
      </w:r>
    </w:p>
    <w:p>
      <w:pPr>
        <w:pStyle w:val="Compact"/>
        <w:numPr>
          <w:ilvl w:val="0"/>
          <w:numId w:val="1003"/>
        </w:numPr>
      </w:pPr>
      <w:r>
        <w:t xml:space="preserve">About</w:t>
      </w:r>
      <w:r>
        <w:t xml:space="preserve"> </w:t>
      </w:r>
      <w:r>
        <w:rPr>
          <w:b/>
          <w:bCs/>
        </w:rPr>
        <w:t xml:space="preserve">35% core incremental margins</w:t>
      </w:r>
      <w:r>
        <w:t xml:space="preserve"> </w:t>
      </w:r>
      <w:r>
        <w:t xml:space="preserve">for the full year.</w:t>
      </w:r>
    </w:p>
    <w:p>
      <w:pPr>
        <w:pStyle w:val="Compact"/>
        <w:numPr>
          <w:ilvl w:val="0"/>
          <w:numId w:val="1003"/>
        </w:numPr>
      </w:pPr>
      <w:r>
        <w:t xml:space="preserve">Approximately</w:t>
      </w:r>
      <w:r>
        <w:t xml:space="preserve"> </w:t>
      </w:r>
      <w:r>
        <w:rPr>
          <w:b/>
          <w:bCs/>
        </w:rPr>
        <w:t xml:space="preserve">50 bp</w:t>
      </w:r>
      <w:r>
        <w:t xml:space="preserve"> </w:t>
      </w:r>
      <w:r>
        <w:t xml:space="preserve">of core-margin expansion.</w:t>
      </w:r>
    </w:p>
    <w:p>
      <w:pPr>
        <w:pStyle w:val="Compact"/>
        <w:numPr>
          <w:ilvl w:val="0"/>
          <w:numId w:val="1003"/>
        </w:numPr>
      </w:pPr>
      <w:r>
        <w:t xml:space="preserve">Continued pricing intended to offset inflation, including tariff-related costs.</w:t>
      </w:r>
    </w:p>
    <w:p>
      <w:pPr>
        <w:pStyle w:val="FirstParagraph"/>
      </w:pPr>
      <w:r>
        <w:t xml:space="preserve">That makes margin performance especially important in 2Q. Investors should look for:</w:t>
      </w:r>
    </w:p>
    <w:p>
      <w:pPr>
        <w:pStyle w:val="Compact"/>
        <w:numPr>
          <w:ilvl w:val="0"/>
          <w:numId w:val="1004"/>
        </w:numPr>
      </w:pPr>
      <w:r>
        <w:t xml:space="preserve">Continued gross-margin and operating-margin expansion;</w:t>
      </w:r>
    </w:p>
    <w:p>
      <w:pPr>
        <w:pStyle w:val="Compact"/>
        <w:numPr>
          <w:ilvl w:val="0"/>
          <w:numId w:val="1004"/>
        </w:numPr>
      </w:pPr>
      <w:r>
        <w:t xml:space="preserve">Evidence that price-cost remains favorable;</w:t>
      </w:r>
    </w:p>
    <w:p>
      <w:pPr>
        <w:pStyle w:val="Compact"/>
        <w:numPr>
          <w:ilvl w:val="0"/>
          <w:numId w:val="1004"/>
        </w:numPr>
      </w:pPr>
      <w:r>
        <w:t xml:space="preserve">EIG margins holding up despite acquisition dilution;</w:t>
      </w:r>
    </w:p>
    <w:p>
      <w:pPr>
        <w:pStyle w:val="Compact"/>
        <w:numPr>
          <w:ilvl w:val="0"/>
          <w:numId w:val="1004"/>
        </w:numPr>
      </w:pPr>
      <w:r>
        <w:t xml:space="preserve">EMG margins remaining structurally stronger after the 1Q step-up.</w:t>
      </w:r>
    </w:p>
    <w:p>
      <w:pPr>
        <w:pStyle w:val="FirstParagraph"/>
      </w:pPr>
      <w:r>
        <w:t xml:space="preserve">A sales beat without margin leverage would be less compelling than an in-line revenue quarter paired with strong margins and a higher full-year earnings outlook.</w:t>
      </w:r>
    </w:p>
    <w:bookmarkEnd w:id="12"/>
    <w:bookmarkEnd w:id="13"/>
    <w:bookmarkStart w:id="16" w:name="segment-and-end-market-dashboard"/>
    <w:p>
      <w:pPr>
        <w:pStyle w:val="Heading2"/>
      </w:pPr>
      <w:r>
        <w:t xml:space="preserve">Segment and end-market dashboard</w:t>
      </w:r>
    </w:p>
    <w:bookmarkStart w:id="14" w:name="electronic-instruments-group-eig"/>
    <w:p>
      <w:pPr>
        <w:pStyle w:val="Heading3"/>
      </w:pPr>
      <w:r>
        <w:t xml:space="preserve">Electronic Instruments Group (EIG)</w:t>
      </w:r>
    </w:p>
    <w:p>
      <w:pPr>
        <w:pStyle w:val="FirstParagraph"/>
      </w:pPr>
      <w:r>
        <w:t xml:space="preserve">EIG is the larger segment and is central to the earnings debate. In 1Q, sales rose</w:t>
      </w:r>
      <w:r>
        <w:t xml:space="preserve"> </w:t>
      </w:r>
      <w:r>
        <w:rPr>
          <w:b/>
          <w:bCs/>
        </w:rPr>
        <w:t xml:space="preserve">11%</w:t>
      </w:r>
      <w:r>
        <w:t xml:space="preserve">, but only</w:t>
      </w:r>
      <w:r>
        <w:t xml:space="preserve"> </w:t>
      </w:r>
      <w:r>
        <w:rPr>
          <w:b/>
          <w:bCs/>
        </w:rPr>
        <w:t xml:space="preserve">2% organically</w:t>
      </w:r>
      <w:r>
        <w:t xml:space="preserve">, as recent acquisitions were a meaningful contributor. Operating margin was</w:t>
      </w:r>
      <w:r>
        <w:t xml:space="preserve"> </w:t>
      </w:r>
      <w:r>
        <w:rPr>
          <w:b/>
          <w:bCs/>
        </w:rPr>
        <w:t xml:space="preserve">29.6%</w:t>
      </w:r>
      <w:r>
        <w:t xml:space="preserve"> </w:t>
      </w:r>
      <w:r>
        <w:t xml:space="preserve">reported; on a core basis, management cited a</w:t>
      </w:r>
      <w:r>
        <w:t xml:space="preserve"> </w:t>
      </w:r>
      <w:r>
        <w:rPr>
          <w:b/>
          <w:bCs/>
        </w:rPr>
        <w:t xml:space="preserve">40 bp</w:t>
      </w:r>
      <w:r>
        <w:t xml:space="preserve"> </w:t>
      </w:r>
      <w:r>
        <w:t xml:space="preserve">improvement.</w:t>
      </w:r>
    </w:p>
    <w:p>
      <w:pPr>
        <w:pStyle w:val="BodyText"/>
      </w:pPr>
      <w:r>
        <w:t xml:space="preserve">The catalyst is orders: EIG organic bookings increased</w:t>
      </w:r>
      <w:r>
        <w:t xml:space="preserve"> </w:t>
      </w:r>
      <w:r>
        <w:rPr>
          <w:b/>
          <w:bCs/>
        </w:rPr>
        <w:t xml:space="preserve">25%</w:t>
      </w:r>
      <w:r>
        <w:t xml:space="preserve"> </w:t>
      </w:r>
      <w:r>
        <w:t xml:space="preserve">in 1Q, with strength across defense, power, semiconductor, process instrumentation, and materials analysis.</w:t>
      </w:r>
    </w:p>
    <w:p>
      <w:pPr>
        <w:pStyle w:val="BodyText"/>
      </w:pPr>
      <w:r>
        <w:rPr>
          <w:b/>
          <w:bCs/>
        </w:rPr>
        <w:t xml:space="preserve">What to watch</w:t>
      </w:r>
    </w:p>
    <w:p>
      <w:pPr>
        <w:pStyle w:val="Compact"/>
        <w:numPr>
          <w:ilvl w:val="0"/>
          <w:numId w:val="1005"/>
        </w:numPr>
      </w:pPr>
      <w:r>
        <w:t xml:space="preserve">Whether order strength converts to better organic sales growth;</w:t>
      </w:r>
    </w:p>
    <w:p>
      <w:pPr>
        <w:pStyle w:val="Compact"/>
        <w:numPr>
          <w:ilvl w:val="0"/>
          <w:numId w:val="1005"/>
        </w:numPr>
      </w:pPr>
      <w:r>
        <w:t xml:space="preserve">Process-instrumentation pipeline and project conversion;</w:t>
      </w:r>
    </w:p>
    <w:p>
      <w:pPr>
        <w:pStyle w:val="Compact"/>
        <w:numPr>
          <w:ilvl w:val="0"/>
          <w:numId w:val="1005"/>
        </w:numPr>
      </w:pPr>
      <w:r>
        <w:t xml:space="preserve">Power/data-center demand;</w:t>
      </w:r>
    </w:p>
    <w:p>
      <w:pPr>
        <w:pStyle w:val="Compact"/>
        <w:numPr>
          <w:ilvl w:val="0"/>
          <w:numId w:val="1005"/>
        </w:numPr>
      </w:pPr>
      <w:r>
        <w:t xml:space="preserve">China and broader Asia trends;</w:t>
      </w:r>
    </w:p>
    <w:p>
      <w:pPr>
        <w:pStyle w:val="Compact"/>
        <w:numPr>
          <w:ilvl w:val="0"/>
          <w:numId w:val="1005"/>
        </w:numPr>
      </w:pPr>
      <w:r>
        <w:t xml:space="preserve">Semiconductor capital-equipment demand;</w:t>
      </w:r>
    </w:p>
    <w:p>
      <w:pPr>
        <w:pStyle w:val="Compact"/>
        <w:numPr>
          <w:ilvl w:val="0"/>
          <w:numId w:val="1005"/>
        </w:numPr>
      </w:pPr>
      <w:r>
        <w:t xml:space="preserve">The pace of margin recovery as acquired businesses are integrated.</w:t>
      </w:r>
    </w:p>
    <w:bookmarkEnd w:id="14"/>
    <w:bookmarkStart w:id="15" w:name="electromechanical-group-emg"/>
    <w:p>
      <w:pPr>
        <w:pStyle w:val="Heading3"/>
      </w:pPr>
      <w:r>
        <w:t xml:space="preserve">Electromechanical Group (EMG)</w:t>
      </w:r>
    </w:p>
    <w:p>
      <w:pPr>
        <w:pStyle w:val="FirstParagraph"/>
      </w:pPr>
      <w:r>
        <w:t xml:space="preserve">EMG was the standout in 1Q: sales increased</w:t>
      </w:r>
      <w:r>
        <w:t xml:space="preserve"> </w:t>
      </w:r>
      <w:r>
        <w:rPr>
          <w:b/>
          <w:bCs/>
        </w:rPr>
        <w:t xml:space="preserve">13%</w:t>
      </w:r>
      <w:r>
        <w:t xml:space="preserve">, including</w:t>
      </w:r>
      <w:r>
        <w:t xml:space="preserve"> </w:t>
      </w:r>
      <w:r>
        <w:rPr>
          <w:b/>
          <w:bCs/>
        </w:rPr>
        <w:t xml:space="preserve">11% organic growth</w:t>
      </w:r>
      <w:r>
        <w:t xml:space="preserve">, while operating income rose</w:t>
      </w:r>
      <w:r>
        <w:t xml:space="preserve"> </w:t>
      </w:r>
      <w:r>
        <w:rPr>
          <w:b/>
          <w:bCs/>
        </w:rPr>
        <w:t xml:space="preserve">33%</w:t>
      </w:r>
      <w:r>
        <w:t xml:space="preserve"> </w:t>
      </w:r>
      <w:r>
        <w:t xml:space="preserve">and operating margin expanded</w:t>
      </w:r>
      <w:r>
        <w:t xml:space="preserve"> </w:t>
      </w:r>
      <w:r>
        <w:rPr>
          <w:b/>
          <w:bCs/>
        </w:rPr>
        <w:t xml:space="preserve">380 bp</w:t>
      </w:r>
      <w:r>
        <w:t xml:space="preserve"> </w:t>
      </w:r>
      <w:r>
        <w:t xml:space="preserve">to</w:t>
      </w:r>
      <w:r>
        <w:t xml:space="preserve"> </w:t>
      </w:r>
      <w:r>
        <w:rPr>
          <w:b/>
          <w:bCs/>
        </w:rPr>
        <w:t xml:space="preserve">25.7%</w:t>
      </w:r>
      <w:r>
        <w:t xml:space="preserve">.</w:t>
      </w:r>
    </w:p>
    <w:p>
      <w:pPr>
        <w:pStyle w:val="BodyText"/>
      </w:pPr>
      <w:r>
        <w:t xml:space="preserve">The segment benefits from automation, engineered solutions, aerospace &amp; defense, and medical exposure. Management described medical as a little over 20% of company sales and said it grew low double digits in 1Q, led by Paragon, but cautioned that comparisons become tougher through the year.</w:t>
      </w:r>
    </w:p>
    <w:p>
      <w:pPr>
        <w:pStyle w:val="BodyText"/>
      </w:pPr>
      <w:r>
        <w:rPr>
          <w:b/>
          <w:bCs/>
        </w:rPr>
        <w:t xml:space="preserve">What to watch</w:t>
      </w:r>
    </w:p>
    <w:p>
      <w:pPr>
        <w:pStyle w:val="Compact"/>
        <w:numPr>
          <w:ilvl w:val="0"/>
          <w:numId w:val="1006"/>
        </w:numPr>
      </w:pPr>
      <w:r>
        <w:t xml:space="preserve">Sustainability of EMG’s exceptional margins;</w:t>
      </w:r>
    </w:p>
    <w:p>
      <w:pPr>
        <w:pStyle w:val="Compact"/>
        <w:numPr>
          <w:ilvl w:val="0"/>
          <w:numId w:val="1006"/>
        </w:numPr>
      </w:pPr>
      <w:r>
        <w:t xml:space="preserve">Aerospace &amp; defense growth and defense-aftermarket demand;</w:t>
      </w:r>
    </w:p>
    <w:p>
      <w:pPr>
        <w:pStyle w:val="Compact"/>
        <w:numPr>
          <w:ilvl w:val="0"/>
          <w:numId w:val="1006"/>
        </w:numPr>
      </w:pPr>
      <w:r>
        <w:t xml:space="preserve">Medical growth cadence versus tougher comparables;</w:t>
      </w:r>
    </w:p>
    <w:p>
      <w:pPr>
        <w:pStyle w:val="Compact"/>
        <w:numPr>
          <w:ilvl w:val="0"/>
          <w:numId w:val="1006"/>
        </w:numPr>
      </w:pPr>
      <w:r>
        <w:t xml:space="preserve">Automation demand and whether the strong 1Q pace normalizes;</w:t>
      </w:r>
    </w:p>
    <w:p>
      <w:pPr>
        <w:pStyle w:val="Compact"/>
        <w:numPr>
          <w:ilvl w:val="0"/>
          <w:numId w:val="1006"/>
        </w:numPr>
      </w:pPr>
      <w:r>
        <w:t xml:space="preserve">First Aviation closing/integration timing and any financial contribution. The acquired defense-and-aviation MRO company has roughly</w:t>
      </w:r>
      <w:r>
        <w:t xml:space="preserve"> </w:t>
      </w:r>
      <w:r>
        <w:rPr>
          <w:b/>
          <w:bCs/>
        </w:rPr>
        <w:t xml:space="preserve">$80 million</w:t>
      </w:r>
      <w:r>
        <w:t xml:space="preserve"> </w:t>
      </w:r>
      <w:r>
        <w:t xml:space="preserve">of annual sales.</w:t>
      </w:r>
    </w:p>
    <w:bookmarkEnd w:id="15"/>
    <w:bookmarkEnd w:id="16"/>
    <w:bookmarkStart w:id="17" w:name="X78b4fe79a2495bb3a709baf724453b931e011da"/>
    <w:p>
      <w:pPr>
        <w:pStyle w:val="Heading2"/>
      </w:pPr>
      <w:r>
        <w:t xml:space="preserve">Guidance is likely the biggest stock-moving variable</w:t>
      </w:r>
    </w:p>
    <w:p>
      <w:pPr>
        <w:pStyle w:val="FirstParagraph"/>
      </w:pPr>
      <w:r>
        <w:t xml:space="preserve">AMETEK raised 2026 adjusted-EPS guidance after 1Q to</w:t>
      </w:r>
      <w:r>
        <w:t xml:space="preserve"> </w:t>
      </w:r>
      <m:oMath>
        <m:r>
          <m:t>7.94</m:t>
        </m:r>
        <m:r>
          <m:rPr>
            <m:sty m:val="p"/>
          </m:rPr>
          <m:t>–</m:t>
        </m:r>
      </m:oMath>
      <w:r>
        <w:rPr>
          <w:b/>
          <w:bCs/>
        </w:rPr>
        <w:t xml:space="preserve">8.14</w:t>
      </w:r>
      <w:r>
        <w:t xml:space="preserve">, from</w:t>
      </w:r>
      <w:r>
        <w:t xml:space="preserve"> </w:t>
      </w:r>
      <m:oMath>
        <m:r>
          <m:t>7.87</m:t>
        </m:r>
        <m:r>
          <m:rPr>
            <m:sty m:val="p"/>
          </m:rPr>
          <m:t>–</m:t>
        </m:r>
      </m:oMath>
      <w:r>
        <w:rPr>
          <w:b/>
          <w:bCs/>
        </w:rPr>
        <w:t xml:space="preserve">8.07</w:t>
      </w:r>
      <w:r>
        <w:t xml:space="preserve"> </w:t>
      </w:r>
      <w:r>
        <w:t xml:space="preserve">previously. The</w:t>
      </w:r>
      <w:r>
        <w:t xml:space="preserve"> </w:t>
      </w:r>
      <m:oMath>
        <m:r>
          <m:t>0.07</m:t>
        </m:r>
        <m:r>
          <m:t>i</m:t>
        </m:r>
        <m:r>
          <m:t>n</m:t>
        </m:r>
        <m:r>
          <m:t>c</m:t>
        </m:r>
        <m:r>
          <m:t>r</m:t>
        </m:r>
        <m:r>
          <m:t>e</m:t>
        </m:r>
        <m:r>
          <m:t>a</m:t>
        </m:r>
        <m:r>
          <m:t>s</m:t>
        </m:r>
        <m:r>
          <m:t>e</m:t>
        </m:r>
        <m:r>
          <m:t>w</m:t>
        </m:r>
        <m:r>
          <m:t>a</m:t>
        </m:r>
        <m:r>
          <m:t>s</m:t>
        </m:r>
        <m:r>
          <m:t>m</m:t>
        </m:r>
        <m:r>
          <m:t>e</m:t>
        </m:r>
        <m:r>
          <m:t>a</m:t>
        </m:r>
        <m:r>
          <m:t>s</m:t>
        </m:r>
        <m:r>
          <m:t>u</m:t>
        </m:r>
        <m:r>
          <m:t>r</m:t>
        </m:r>
        <m:r>
          <m:t>e</m:t>
        </m:r>
        <m:r>
          <m:t>d</m:t>
        </m:r>
        <m:r>
          <m:t>r</m:t>
        </m:r>
        <m:r>
          <m:t>e</m:t>
        </m:r>
        <m:r>
          <m:t>l</m:t>
        </m:r>
        <m:r>
          <m:t>a</m:t>
        </m:r>
        <m:r>
          <m:t>t</m:t>
        </m:r>
        <m:r>
          <m:t>i</m:t>
        </m:r>
        <m:r>
          <m:t>v</m:t>
        </m:r>
        <m:r>
          <m:t>e</m:t>
        </m:r>
        <m:r>
          <m:t>t</m:t>
        </m:r>
        <m:r>
          <m:t>o</m:t>
        </m:r>
        <m:r>
          <m:t>a</m:t>
        </m:r>
        <m:r>
          <m:t>n</m:t>
        </m:r>
        <m:r>
          <m:t>e</m:t>
        </m:r>
        <m:r>
          <m:t>x</m:t>
        </m:r>
        <m:r>
          <m:t>c</m:t>
        </m:r>
        <m:r>
          <m:t>e</m:t>
        </m:r>
        <m:r>
          <m:t>p</m:t>
        </m:r>
        <m:r>
          <m:t>t</m:t>
        </m:r>
        <m:r>
          <m:t>i</m:t>
        </m:r>
        <m:r>
          <m:t>o</m:t>
        </m:r>
        <m:r>
          <m:t>n</m:t>
        </m:r>
        <m:r>
          <m:t>a</m:t>
        </m:r>
        <m:r>
          <m:t>l</m:t>
        </m:r>
        <m:r>
          <m:t>1</m:t>
        </m:r>
        <m:r>
          <m:t>Q</m:t>
        </m:r>
        <m:r>
          <m:t>o</m:t>
        </m:r>
        <m:r>
          <m:t>r</m:t>
        </m:r>
        <m:r>
          <m:t>d</m:t>
        </m:r>
        <m:r>
          <m:t>e</m:t>
        </m:r>
        <m:r>
          <m:t>r</m:t>
        </m:r>
        <m:r>
          <m:t>p</m:t>
        </m:r>
        <m:r>
          <m:t>r</m:t>
        </m:r>
        <m:r>
          <m:t>i</m:t>
        </m:r>
        <m:r>
          <m:t>n</m:t>
        </m:r>
        <m:r>
          <m:t>t</m:t>
        </m:r>
        <m:r>
          <m:t>a</m:t>
        </m:r>
        <m:r>
          <m:t>n</m:t>
        </m:r>
        <m:r>
          <m:t>d</m:t>
        </m:r>
        <m:r>
          <m:t>a</m:t>
        </m:r>
        <m:r>
          <m:t>f</m:t>
        </m:r>
        <m:r>
          <m:t>i</m:t>
        </m:r>
        <m:r>
          <m:t>r</m:t>
        </m:r>
        <m:r>
          <m:t>s</m:t>
        </m:r>
        <m:r>
          <m:t>t</m:t>
        </m:r>
        <m:r>
          <m:rPr>
            <m:sty m:val="p"/>
          </m:rPr>
          <m:t>−</m:t>
        </m:r>
        <m:r>
          <m:t>q</m:t>
        </m:r>
        <m:r>
          <m:t>u</m:t>
        </m:r>
        <m:r>
          <m:t>a</m:t>
        </m:r>
        <m:r>
          <m:t>r</m:t>
        </m:r>
        <m:r>
          <m:t>t</m:t>
        </m:r>
        <m:r>
          <m:t>e</m:t>
        </m:r>
        <m:r>
          <m:t>r</m:t>
        </m:r>
        <m:r>
          <m:t>a</m:t>
        </m:r>
        <m:r>
          <m:t>d</m:t>
        </m:r>
        <m:r>
          <m:t>j</m:t>
        </m:r>
        <m:r>
          <m:t>u</m:t>
        </m:r>
        <m:r>
          <m:t>s</m:t>
        </m:r>
        <m:r>
          <m:t>t</m:t>
        </m:r>
        <m:r>
          <m:t>e</m:t>
        </m:r>
        <m:r>
          <m:t>d</m:t>
        </m:r>
        <m:r>
          <m:t>E</m:t>
        </m:r>
        <m:r>
          <m:t>P</m:t>
        </m:r>
        <m:r>
          <m:t>S</m:t>
        </m:r>
        <m:r>
          <m:t>r</m:t>
        </m:r>
        <m:r>
          <m:t>e</m:t>
        </m:r>
        <m:r>
          <m:t>s</m:t>
        </m:r>
        <m:r>
          <m:t>u</m:t>
        </m:r>
        <m:r>
          <m:t>l</m:t>
        </m:r>
        <m:r>
          <m:t>t</m:t>
        </m:r>
        <m:r>
          <m:t>o</m:t>
        </m:r>
        <m:r>
          <m:t>f</m:t>
        </m:r>
        <m:r>
          <m:rPr>
            <m:sty m:val="p"/>
          </m:rPr>
          <m:t>*</m:t>
        </m:r>
        <m:r>
          <m:rPr>
            <m:sty m:val="p"/>
          </m:rPr>
          <m:t>*</m:t>
        </m:r>
      </m:oMath>
      <w:r>
        <w:t xml:space="preserve">1.97**, above the company’s prior</w:t>
      </w:r>
      <w:r>
        <w:t xml:space="preserve"> </w:t>
      </w:r>
      <m:oMath>
        <m:r>
          <m:t>1.85</m:t>
        </m:r>
        <m:r>
          <m:rPr>
            <m:sty m:val="p"/>
          </m:rPr>
          <m:t>–</m:t>
        </m:r>
      </m:oMath>
      <w:r>
        <w:t xml:space="preserve">1.90 guide.</w:t>
      </w:r>
    </w:p>
    <w:p>
      <w:pPr>
        <w:pStyle w:val="BodyText"/>
      </w:pPr>
      <w:r>
        <w:t xml:space="preserve">That creates an asymmetric interpretation:</w:t>
      </w:r>
    </w:p>
    <w:p>
      <w:pPr>
        <w:pStyle w:val="Compact"/>
        <w:numPr>
          <w:ilvl w:val="0"/>
          <w:numId w:val="1007"/>
        </w:numPr>
      </w:pPr>
      <w:r>
        <w:rPr>
          <w:b/>
          <w:bCs/>
        </w:rPr>
        <w:t xml:space="preserve">Reiteration</w:t>
      </w:r>
      <w:r>
        <w:t xml:space="preserve"> </w:t>
      </w:r>
      <w:r>
        <w:t xml:space="preserve">would likely be acceptable only if the company explains why conservatism remains warranted despite strong orders.</w:t>
      </w:r>
    </w:p>
    <w:p>
      <w:pPr>
        <w:pStyle w:val="Compact"/>
        <w:numPr>
          <w:ilvl w:val="0"/>
          <w:numId w:val="1007"/>
        </w:numPr>
      </w:pPr>
      <w:r>
        <w:rPr>
          <w:b/>
          <w:bCs/>
        </w:rPr>
        <w:t xml:space="preserve">A modest raise</w:t>
      </w:r>
      <w:r>
        <w:t xml:space="preserve"> </w:t>
      </w:r>
      <w:r>
        <w:t xml:space="preserve">would validate that backlog, pricing, and end-market demand are translating into better earnings power.</w:t>
      </w:r>
    </w:p>
    <w:p>
      <w:pPr>
        <w:pStyle w:val="Compact"/>
        <w:numPr>
          <w:ilvl w:val="0"/>
          <w:numId w:val="1007"/>
        </w:numPr>
      </w:pPr>
      <w:r>
        <w:rPr>
          <w:b/>
          <w:bCs/>
        </w:rPr>
        <w:t xml:space="preserve">No raise plus softer orders or margin commentary</w:t>
      </w:r>
      <w:r>
        <w:t xml:space="preserve"> </w:t>
      </w:r>
      <w:r>
        <w:t xml:space="preserve">could prompt concern that 1Q represented a peak in growth momentum.</w:t>
      </w:r>
    </w:p>
    <w:p>
      <w:pPr>
        <w:pStyle w:val="FirstParagraph"/>
      </w:pPr>
      <w:r>
        <w:t xml:space="preserve">Management has consistently emphasized prudence because of global macro uncertainty, trade policy, inflation, and tariffs. In its 1Q filing, AMETEK said tariff changes had not materially affected 1Q results, but it was using pricing, supply-chain adjustments, and localized production to mitigate potential effects. The market will want an updated read on whether those mitigation efforts remain sufficient.</w:t>
      </w:r>
    </w:p>
    <w:bookmarkEnd w:id="17"/>
    <w:bookmarkStart w:id="18" w:name="X027c67c9709eb5c715a1a0eaf9763dd6cd52db1"/>
    <w:p>
      <w:pPr>
        <w:pStyle w:val="Heading2"/>
      </w:pPr>
      <w:r>
        <w:t xml:space="preserve">Capital deployment remains an underappreciated catalyst</w:t>
      </w:r>
    </w:p>
    <w:p>
      <w:pPr>
        <w:pStyle w:val="FirstParagraph"/>
      </w:pPr>
      <w:r>
        <w:t xml:space="preserve">AMETEK ended 1Q with</w:t>
      </w:r>
      <w:r>
        <w:t xml:space="preserve"> </w:t>
      </w:r>
      <m:oMath>
        <m:r>
          <m:t>2.2</m:t>
        </m:r>
        <m:r>
          <m:t>b</m:t>
        </m:r>
        <m:r>
          <m:t>i</m:t>
        </m:r>
        <m:r>
          <m:t>l</m:t>
        </m:r>
        <m:r>
          <m:t>l</m:t>
        </m:r>
        <m:r>
          <m:t>i</m:t>
        </m:r>
        <m:r>
          <m:t>o</m:t>
        </m:r>
        <m:r>
          <m:t>n</m:t>
        </m:r>
        <m:r>
          <m:rPr>
            <m:sty m:val="p"/>
          </m:rPr>
          <m:t>*</m:t>
        </m:r>
        <m:r>
          <m:rPr>
            <m:sty m:val="p"/>
          </m:rPr>
          <m:t>*</m:t>
        </m:r>
        <m:r>
          <m:t>o</m:t>
        </m:r>
        <m:r>
          <m:t>f</m:t>
        </m:r>
        <m:r>
          <m:t>g</m:t>
        </m:r>
        <m:r>
          <m:t>r</m:t>
        </m:r>
        <m:r>
          <m:t>o</m:t>
        </m:r>
        <m:r>
          <m:t>s</m:t>
        </m:r>
        <m:r>
          <m:t>s</m:t>
        </m:r>
        <m:r>
          <m:t>d</m:t>
        </m:r>
        <m:r>
          <m:t>e</m:t>
        </m:r>
        <m:r>
          <m:t>b</m:t>
        </m:r>
        <m:r>
          <m:t>t</m:t>
        </m:r>
        <m:r>
          <m:rPr>
            <m:sty m:val="p"/>
          </m:rPr>
          <m:t>,</m:t>
        </m:r>
        <m:r>
          <m:rPr>
            <m:sty m:val="p"/>
          </m:rPr>
          <m:t>*</m:t>
        </m:r>
        <m:r>
          <m:rPr>
            <m:sty m:val="p"/>
          </m:rPr>
          <m:t>*</m:t>
        </m:r>
      </m:oMath>
      <w:r>
        <w:rPr>
          <w:b/>
          <w:bCs/>
        </w:rPr>
        <w:t xml:space="preserve">481 million</w:t>
      </w:r>
      <w:r>
        <w:t xml:space="preserve"> </w:t>
      </w:r>
      <w:r>
        <w:t xml:space="preserve">of cash, and approximately</w:t>
      </w:r>
      <w:r>
        <w:t xml:space="preserve"> </w:t>
      </w:r>
      <w:r>
        <w:rPr>
          <w:b/>
          <w:bCs/>
        </w:rPr>
        <w:t xml:space="preserve">0.7x net debt/EBITDA</w:t>
      </w:r>
      <w:r>
        <w:t xml:space="preserve">. Management stated it could deploy</w:t>
      </w:r>
      <w:r>
        <w:t xml:space="preserve"> </w:t>
      </w:r>
      <w:r>
        <w:rPr>
          <w:b/>
          <w:bCs/>
        </w:rPr>
        <w:t xml:space="preserve">well over $5 billion</w:t>
      </w:r>
      <w:r>
        <w:t xml:space="preserve"> </w:t>
      </w:r>
      <w:r>
        <w:t xml:space="preserve">while retaining an investment-grade credit rating.</w:t>
      </w:r>
    </w:p>
    <w:p>
      <w:pPr>
        <w:pStyle w:val="BodyText"/>
      </w:pPr>
      <w:r>
        <w:t xml:space="preserve">The company’s acquisition strategy is a durable part of the thesis:</w:t>
      </w:r>
    </w:p>
    <w:p>
      <w:pPr>
        <w:pStyle w:val="Compact"/>
        <w:numPr>
          <w:ilvl w:val="0"/>
          <w:numId w:val="1008"/>
        </w:numPr>
      </w:pPr>
      <w:r>
        <w:rPr>
          <w:b/>
          <w:bCs/>
        </w:rPr>
        <w:t xml:space="preserve">LKC Technologies</w:t>
      </w:r>
      <w:r>
        <w:t xml:space="preserve"> </w:t>
      </w:r>
      <w:r>
        <w:t xml:space="preserve">was acquired in January for ophthalmic diagnostic technology.</w:t>
      </w:r>
    </w:p>
    <w:p>
      <w:pPr>
        <w:pStyle w:val="Compact"/>
        <w:numPr>
          <w:ilvl w:val="0"/>
          <w:numId w:val="1008"/>
        </w:numPr>
      </w:pPr>
      <w:r>
        <w:rPr>
          <w:b/>
          <w:bCs/>
        </w:rPr>
        <w:t xml:space="preserve">First Aviation Services</w:t>
      </w:r>
      <w:r>
        <w:t xml:space="preserve"> </w:t>
      </w:r>
      <w:r>
        <w:t xml:space="preserve">was announced in April, extending AMETEK’s defense and aviation MRO capabilities.</w:t>
      </w:r>
    </w:p>
    <w:p>
      <w:pPr>
        <w:pStyle w:val="Compact"/>
        <w:numPr>
          <w:ilvl w:val="0"/>
          <w:numId w:val="1008"/>
        </w:numPr>
      </w:pPr>
      <w:r>
        <w:t xml:space="preserve">Management has indicated an active pipeline across deal sizes, while maintaining that it will remain disciplined and avoid transformative transactions.</w:t>
      </w:r>
    </w:p>
    <w:p>
      <w:pPr>
        <w:pStyle w:val="FirstParagraph"/>
      </w:pPr>
      <w:r>
        <w:t xml:space="preserve">The call could therefore include valuable commentary on M&amp;A cadence, integration, acquisition margins, and the shape of the pipeline.</w:t>
      </w:r>
    </w:p>
    <w:bookmarkEnd w:id="18"/>
    <w:bookmarkStart w:id="19" w:name="share-performance-and-valuation-context"/>
    <w:p>
      <w:pPr>
        <w:pStyle w:val="Heading2"/>
      </w:pPr>
      <w:r>
        <w:t xml:space="preserve">Share performance and valuation context</w:t>
      </w:r>
    </w:p>
    <w:p>
      <w:pPr>
        <w:pStyle w:val="FirstParagraph"/>
      </w:pPr>
      <w:r>
        <w:t xml:space="preserve">At the</w:t>
      </w:r>
      <w:r>
        <w:t xml:space="preserve"> </w:t>
      </w:r>
      <w:r>
        <w:rPr>
          <w:b/>
          <w:bCs/>
        </w:rPr>
        <w:t xml:space="preserve">August 3, 2026</w:t>
      </w:r>
      <w:r>
        <w:t xml:space="preserve"> </w:t>
      </w:r>
      <w:r>
        <w:t xml:space="preserve">close, AME traded at</w:t>
      </w:r>
      <w:r>
        <w:t xml:space="preserve"> </w:t>
      </w:r>
      <w:r>
        <w:rPr>
          <w:b/>
          <w:bCs/>
        </w:rPr>
        <w:t xml:space="preserve">$243.81</w:t>
      </w:r>
      <w:r>
        <w:t xml:space="preserve">.</w:t>
      </w:r>
    </w:p>
    <w:p>
      <w:pPr>
        <w:pStyle w:val="Compact"/>
        <w:numPr>
          <w:ilvl w:val="0"/>
          <w:numId w:val="1009"/>
        </w:numPr>
      </w:pPr>
      <w:r>
        <w:rPr>
          <w:b/>
          <w:bCs/>
        </w:rPr>
        <w:t xml:space="preserve">Year to date:</w:t>
      </w:r>
      <w:r>
        <w:t xml:space="preserve"> </w:t>
      </w:r>
      <w:r>
        <w:t xml:space="preserve">AME is up approximately</w:t>
      </w:r>
      <w:r>
        <w:t xml:space="preserve"> </w:t>
      </w:r>
      <w:r>
        <w:rPr>
          <w:b/>
          <w:bCs/>
        </w:rPr>
        <w:t xml:space="preserve">18.8%</w:t>
      </w:r>
      <w:r>
        <w:t xml:space="preserve">, versus roughly</w:t>
      </w:r>
      <w:r>
        <w:t xml:space="preserve"> </w:t>
      </w:r>
      <w:r>
        <w:rPr>
          <w:b/>
          <w:bCs/>
        </w:rPr>
        <w:t xml:space="preserve">11.1%</w:t>
      </w:r>
      <w:r>
        <w:t xml:space="preserve"> </w:t>
      </w:r>
      <w:r>
        <w:t xml:space="preserve">for the S&amp;P 500.</w:t>
      </w:r>
    </w:p>
    <w:p>
      <w:pPr>
        <w:pStyle w:val="Compact"/>
        <w:numPr>
          <w:ilvl w:val="0"/>
          <w:numId w:val="1009"/>
        </w:numPr>
      </w:pPr>
      <w:r>
        <w:rPr>
          <w:b/>
          <w:bCs/>
        </w:rPr>
        <w:t xml:space="preserve">Since the April 30 1Q report:</w:t>
      </w:r>
      <w:r>
        <w:t xml:space="preserve"> </w:t>
      </w:r>
      <w:r>
        <w:t xml:space="preserve">AME is up about</w:t>
      </w:r>
      <w:r>
        <w:t xml:space="preserve"> </w:t>
      </w:r>
      <w:r>
        <w:rPr>
          <w:b/>
          <w:bCs/>
        </w:rPr>
        <w:t xml:space="preserve">3.5%</w:t>
      </w:r>
      <w:r>
        <w:t xml:space="preserve">, modestly trailing the S&amp;P 500’s roughly</w:t>
      </w:r>
      <w:r>
        <w:t xml:space="preserve"> </w:t>
      </w:r>
      <w:r>
        <w:rPr>
          <w:b/>
          <w:bCs/>
        </w:rPr>
        <w:t xml:space="preserve">5.4%</w:t>
      </w:r>
      <w:r>
        <w:t xml:space="preserve"> </w:t>
      </w:r>
      <w:r>
        <w:t xml:space="preserve">gain over the same period.</w:t>
      </w:r>
    </w:p>
    <w:p>
      <w:pPr>
        <w:pStyle w:val="Compact"/>
        <w:numPr>
          <w:ilvl w:val="0"/>
          <w:numId w:val="1009"/>
        </w:numPr>
      </w:pPr>
      <w:r>
        <w:t xml:space="preserve">At</w:t>
      </w:r>
      <w:r>
        <w:t xml:space="preserve"> </w:t>
      </w:r>
      <m:oMath>
        <m:r>
          <m:t>243.81</m:t>
        </m:r>
        <m:r>
          <m:t>a</m:t>
        </m:r>
        <m:r>
          <m:t>n</m:t>
        </m:r>
        <m:r>
          <m:t>d</m:t>
        </m:r>
        <m:r>
          <m:t>t</m:t>
        </m:r>
        <m:r>
          <m:t>h</m:t>
        </m:r>
        <m:r>
          <m:t>e</m:t>
        </m:r>
        <m:r>
          <m:rPr>
            <m:sty m:val="p"/>
          </m:rPr>
          <m:t>*</m:t>
        </m:r>
        <m:r>
          <m:rPr>
            <m:sty m:val="p"/>
          </m:rPr>
          <m:t>*</m:t>
        </m:r>
      </m:oMath>
      <w:r>
        <w:t xml:space="preserve">8.04** midpoint of company FY26 adjusted-EPS guidance, AME trades at roughly</w:t>
      </w:r>
      <w:r>
        <w:t xml:space="preserve"> </w:t>
      </w:r>
      <w:r>
        <w:rPr>
          <w:b/>
          <w:bCs/>
        </w:rPr>
        <w:t xml:space="preserve">30x</w:t>
      </w:r>
      <w:r>
        <w:t xml:space="preserve"> </w:t>
      </w:r>
      <w:r>
        <w:t xml:space="preserve">that guided adjusted EPS figure.</w:t>
      </w:r>
    </w:p>
    <w:p>
      <w:pPr>
        <w:pStyle w:val="FirstParagraph"/>
      </w:pPr>
      <w:r>
        <w:t xml:space="preserve">That premium valuation raises the importance of the qualitative signals: book-to-bill, organic-growth acceleration, margin durability, and the potential for another full-year guidance increase matter more than a narrow quarterly EPS beat.</w:t>
      </w:r>
    </w:p>
    <w:bookmarkEnd w:id="19"/>
    <w:bookmarkStart w:id="21" w:name="bottom-line"/>
    <w:p>
      <w:pPr>
        <w:pStyle w:val="Heading2"/>
      </w:pPr>
      <w:r>
        <w:t xml:space="preserve">Bottom line</w:t>
      </w:r>
    </w:p>
    <w:p>
      <w:pPr>
        <w:pStyle w:val="FirstParagraph"/>
      </w:pPr>
      <w:r>
        <w:rPr>
          <w:b/>
          <w:bCs/>
        </w:rPr>
        <w:t xml:space="preserve">The pre-earnings stance is constructive, but expectations are not low.</w:t>
      </w:r>
      <w:r>
        <w:t xml:space="preserve"> </w:t>
      </w:r>
      <w:r>
        <w:t xml:space="preserve">AMETEK has unusually strong leading indicators: record orders, record backlog, robust cash conversion, improving process/power demand, and secular tailwinds in defense, data-center power infrastructure, precision technology, and automation.</w:t>
      </w:r>
    </w:p>
    <w:p>
      <w:pPr>
        <w:pStyle w:val="BodyText"/>
      </w:pPr>
      <w:r>
        <w:t xml:space="preserve">For a positive reaction, investors likely need three things:</w:t>
      </w:r>
    </w:p>
    <w:p>
      <w:pPr>
        <w:pStyle w:val="Compact"/>
        <w:numPr>
          <w:ilvl w:val="0"/>
          <w:numId w:val="1010"/>
        </w:numPr>
      </w:pPr>
      <w:r>
        <w:rPr>
          <w:b/>
          <w:bCs/>
        </w:rPr>
        <w:t xml:space="preserve">Organic growth consistent with the mid-single-digit full-year framework;</w:t>
      </w:r>
    </w:p>
    <w:p>
      <w:pPr>
        <w:pStyle w:val="Compact"/>
        <w:numPr>
          <w:ilvl w:val="0"/>
          <w:numId w:val="1010"/>
        </w:numPr>
      </w:pPr>
      <w:r>
        <w:rPr>
          <w:b/>
          <w:bCs/>
        </w:rPr>
        <w:t xml:space="preserve">Margins that confirm the 1Q improvement was not a one-off; and</w:t>
      </w:r>
    </w:p>
    <w:p>
      <w:pPr>
        <w:pStyle w:val="Compact"/>
        <w:numPr>
          <w:ilvl w:val="0"/>
          <w:numId w:val="1010"/>
        </w:numPr>
      </w:pPr>
      <w:r>
        <w:rPr>
          <w:b/>
          <w:bCs/>
        </w:rPr>
        <w:t xml:space="preserve">Orders/backlog commentary that supports a stronger second half—and ideally a guidance raise.</w:t>
      </w:r>
    </w:p>
    <w:p>
      <w:pPr>
        <w:pStyle w:val="FirstParagraph"/>
      </w:pPr>
      <w:r>
        <w:t xml:space="preserve">The principal downside risk is not a weak 2Q result relative to the company’s guide. It is a sign that EIG’s order surge is slower to convert into revenue, EMG growth/margins are normalizing more quickly than expected, or tariff and macro pressures are becoming harder to offset through pricing and operational actions.</w:t>
      </w:r>
    </w:p>
    <w:p>
      <w:r>
        <w:pict>
          <v:rect style="width:0;height:1.5pt" o:hralign="center" o:hrstd="t" o:hr="t"/>
        </w:pict>
      </w:r>
    </w:p>
    <w:bookmarkStart w:id="20" w:name="source-materials-reviewed"/>
    <w:p>
      <w:pPr>
        <w:pStyle w:val="Heading3"/>
      </w:pPr>
      <w:r>
        <w:t xml:space="preserve">Source materials reviewed</w:t>
      </w:r>
    </w:p>
    <w:p>
      <w:pPr>
        <w:pStyle w:val="Compact"/>
        <w:numPr>
          <w:ilvl w:val="0"/>
          <w:numId w:val="1011"/>
        </w:numPr>
      </w:pPr>
      <w:r>
        <w:t xml:space="preserve">AMETEK 1Q26 earnings release and earnings-call transcript, dated April 30, 2026.</w:t>
      </w:r>
    </w:p>
    <w:p>
      <w:pPr>
        <w:pStyle w:val="Compact"/>
        <w:numPr>
          <w:ilvl w:val="0"/>
          <w:numId w:val="1011"/>
        </w:numPr>
      </w:pPr>
      <w:r>
        <w:t xml:space="preserve">AMETEK 1Q26 Form 10-Q.</w:t>
      </w:r>
    </w:p>
    <w:p>
      <w:pPr>
        <w:pStyle w:val="Compact"/>
        <w:numPr>
          <w:ilvl w:val="0"/>
          <w:numId w:val="1011"/>
        </w:numPr>
      </w:pPr>
      <w:r>
        <w:t xml:space="preserve">AMETEK 2Q25 earnings release, dated July 31, 2025.</w:t>
      </w:r>
    </w:p>
    <w:p>
      <w:pPr>
        <w:pStyle w:val="Compact"/>
        <w:numPr>
          <w:ilvl w:val="0"/>
          <w:numId w:val="1011"/>
        </w:numPr>
      </w:pPr>
      <w:r>
        <w:t xml:space="preserve">AME and S&amp;P 500 closing-price data through August 3,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2026-08-04T00:34:55Z</dcterms:created>
  <dcterms:modified xsi:type="dcterms:W3CDTF">2026-08-04T00:34:55Z</dcterms:modified>
</cp:coreProperties>
</file>

<file path=docProps/custom.xml><?xml version="1.0" encoding="utf-8"?>
<Properties xmlns="http://schemas.openxmlformats.org/officeDocument/2006/custom-properties" xmlns:vt="http://schemas.openxmlformats.org/officeDocument/2006/docPropsVTypes"/>
</file>