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AMETEK, Inc. (AME)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AMETEK, Inc.</w:t>
            </w:r>
          </w:p>
        </w:tc>
      </w:tr>
      <w:tr>
        <w:tc>
          <w:tcPr>
            <w:tcW w:type="dxa" w:w="4320"/>
          </w:tcPr>
          <w:p>
            <w:r>
              <w:rPr>
                <w:rFonts w:ascii="Calibri" w:hAnsi="Calibri"/>
                <w:b/>
                <w:sz w:val="22"/>
              </w:rPr>
              <w:t>Ticker</w:t>
            </w:r>
          </w:p>
        </w:tc>
        <w:tc>
          <w:tcPr>
            <w:tcW w:type="dxa" w:w="4320"/>
          </w:tcPr>
          <w:p>
            <w:r>
              <w:rPr>
                <w:rFonts w:ascii="Calibri" w:hAnsi="Calibri"/>
                <w:sz w:val="22"/>
              </w:rPr>
              <w:t>NYSE: AME</w:t>
            </w:r>
          </w:p>
        </w:tc>
      </w:tr>
      <w:tr>
        <w:tc>
          <w:tcPr>
            <w:tcW w:type="dxa" w:w="4320"/>
          </w:tcPr>
          <w:p>
            <w:r>
              <w:rPr>
                <w:rFonts w:ascii="Calibri" w:hAnsi="Calibri"/>
                <w:b/>
                <w:sz w:val="22"/>
              </w:rPr>
              <w:t>Upcoming Earnings</w:t>
            </w:r>
          </w:p>
        </w:tc>
        <w:tc>
          <w:tcPr>
            <w:tcW w:type="dxa" w:w="4320"/>
          </w:tcPr>
          <w:p>
            <w:r>
              <w:rPr>
                <w:rFonts w:ascii="Calibri" w:hAnsi="Calibri"/>
                <w:sz w:val="22"/>
              </w:rPr>
              <w:t>Q2 2026 (expected late July / early August 2026)</w:t>
            </w:r>
          </w:p>
        </w:tc>
      </w:tr>
      <w:tr>
        <w:tc>
          <w:tcPr>
            <w:tcW w:type="dxa" w:w="4320"/>
          </w:tcPr>
          <w:p>
            <w:r>
              <w:rPr>
                <w:rFonts w:ascii="Calibri" w:hAnsi="Calibri"/>
                <w:b/>
                <w:sz w:val="22"/>
              </w:rPr>
              <w:t>Last Earnings</w:t>
            </w:r>
          </w:p>
        </w:tc>
        <w:tc>
          <w:tcPr>
            <w:tcW w:type="dxa" w:w="4320"/>
          </w:tcPr>
          <w:p>
            <w:r>
              <w:rPr>
                <w:rFonts w:ascii="Calibri" w:hAnsi="Calibri"/>
                <w:sz w:val="22"/>
              </w:rPr>
              <w:t>Q1 2026 — April 30, 2026</w:t>
            </w:r>
          </w:p>
        </w:tc>
      </w:tr>
      <w:tr>
        <w:tc>
          <w:tcPr>
            <w:tcW w:type="dxa" w:w="4320"/>
          </w:tcPr>
          <w:p>
            <w:r>
              <w:rPr>
                <w:rFonts w:ascii="Calibri" w:hAnsi="Calibri"/>
                <w:b/>
                <w:sz w:val="22"/>
              </w:rPr>
              <w:t>Preparation Date</w:t>
            </w:r>
          </w:p>
        </w:tc>
        <w:tc>
          <w:tcPr>
            <w:tcW w:type="dxa" w:w="4320"/>
          </w:tcPr>
          <w:p>
            <w:r>
              <w:rPr>
                <w:rFonts w:ascii="Calibri" w:hAnsi="Calibri"/>
                <w:sz w:val="22"/>
              </w:rPr>
              <w:t>August 3, 2026</w:t>
            </w:r>
          </w:p>
        </w:tc>
      </w:tr>
      <w:tr>
        <w:tc>
          <w:tcPr>
            <w:tcW w:type="dxa" w:w="4320"/>
          </w:tcPr>
          <w:p>
            <w:r>
              <w:rPr>
                <w:rFonts w:ascii="Calibri" w:hAnsi="Calibri"/>
                <w:b/>
                <w:sz w:val="22"/>
              </w:rPr>
              <w:t>Sector / ETF Benchmark</w:t>
            </w:r>
          </w:p>
        </w:tc>
        <w:tc>
          <w:tcPr>
            <w:tcW w:type="dxa" w:w="4320"/>
          </w:tcPr>
          <w:p>
            <w:r>
              <w:rPr>
                <w:rFonts w:ascii="Calibri" w:hAnsi="Calibri"/>
                <w:sz w:val="22"/>
              </w:rPr>
              <w:t>Industrials / XLI</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constructive — consensus sits at a modest bar ($1.76 adj. EPS, ~5% organic growth) against a record $3.87B backlog and management's own guidance of $1.96–$2.00 adj. EPS, implying meaningful upside; the biggest swing factor is whether the Indicor acquisition timeline and financing costs create any near-term EPS drag or guidance noise.</w:t>
      </w:r>
    </w:p>
    <w:p>
      <w:r>
        <w:rPr>
          <w:rFonts w:ascii="Calibri" w:hAnsi="Calibri"/>
          <w:color w:val="525866"/>
          <w:sz w:val="22"/>
        </w:rPr>
        <w:t xml:space="preserve">AMETEK heads into Q2 2026 with one of the strongest demand backdrops in its recent history: a record $3.87B backlog built on 22% organic order growth in Q1, broad-based strength across all divisions, and management guiding to $1.96–$2.00 in adjusted EPS — a range that sits </w:t>
      </w:r>
      <w:r>
        <w:rPr>
          <w:rFonts w:ascii="Calibri" w:hAnsi="Calibri"/>
          <w:b/>
          <w:color w:val="525866"/>
          <w:sz w:val="22"/>
        </w:rPr>
        <w:t>11–14% above the current consensus of ~$1.76</w:t>
      </w:r>
      <w:r>
        <w:rPr>
          <w:rFonts w:ascii="Calibri" w:hAnsi="Calibri"/>
          <w:color w:val="525866"/>
          <w:sz w:val="22"/>
        </w:rPr>
        <w:t xml:space="preserve">. The bar is low relative to guidance, and the estimate trajectory has been modestly positive since the Q1 print. Management’s tone has been notably confident: they raised full-year EPS guidance to $7.94–$8.14 (up from $7.87–$8.07) and explicitly stated they expect to offset all tariff and inflationary costs with pricing. The stock has lagged both XLI (+3.0%) and the S&amp;P 500 (+4.0%) since the Q1 print, gaining only +2.7%, which likely reflects investor uncertainty around the transformative $5.0B Indicor acquisition announced May 6 — the largest deal in AMETEK’s history — and the associated $7.5B in new credit facilities secured June 12. The wildcard is </w:t>
      </w:r>
      <w:r>
        <w:rPr>
          <w:rFonts w:ascii="Calibri" w:hAnsi="Calibri"/>
          <w:b/>
          <w:color w:val="525866"/>
          <w:sz w:val="22"/>
        </w:rPr>
        <w:t>Indicor deal timing and leverage impact</w:t>
      </w:r>
      <w:r>
        <w:rPr>
          <w:rFonts w:ascii="Calibri" w:hAnsi="Calibri"/>
          <w:color w:val="525866"/>
          <w:sz w:val="22"/>
        </w:rPr>
        <w:t>: if the deal closes in Q2 or early Q3, the market will want clarity on pro-forma leverage (expected to jump from ~0.9x to well above 3x gross debt/EBITDA), integration costs, and any EPS dilution in the near term, which could overshadow an otherwise clean organic beat.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30A46C"/>
          <w:sz w:val="22"/>
        </w:rPr>
        <w:t>low bar</w:t>
      </w:r>
      <w:r>
        <w:rPr>
          <w:rFonts w:ascii="Calibri" w:hAnsi="Calibri"/>
          <w:color w:val="525866"/>
          <w:sz w:val="22"/>
        </w:rPr>
        <w:t xml:space="preserve"> relative to management’s own Q2 guidance — adj. EPS consensus of ~$1.76 sits ~11% below the guidance midpoint of $1.98, and organic growth consensus of ~5.0% is in line with the guided ‘high single digits’ total sales growth. Orders and margin trajectory are the bigger swing factors for the stock reaction.</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(Mgmt)</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Sales ($M)</w:t>
            </w:r>
          </w:p>
        </w:tc>
        <w:tc>
          <w:tcPr>
            <w:tcW w:type="dxa" w:w="1234"/>
          </w:tcPr>
          <w:p>
            <w:r>
              <w:rPr>
                <w:rFonts w:ascii="Calibri" w:hAnsi="Calibri"/>
                <w:sz w:val="22"/>
              </w:rPr>
              <w:t>$1,928M</w:t>
            </w:r>
          </w:p>
        </w:tc>
        <w:tc>
          <w:tcPr>
            <w:tcW w:type="dxa" w:w="1234"/>
          </w:tcPr>
          <w:p>
            <w:r>
              <w:rPr>
                <w:rFonts w:ascii="Calibri" w:hAnsi="Calibri"/>
                <w:sz w:val="22"/>
              </w:rPr>
              <w:t>$1,778M</w:t>
            </w:r>
          </w:p>
        </w:tc>
        <w:tc>
          <w:tcPr>
            <w:tcW w:type="dxa" w:w="1234"/>
          </w:tcPr>
          <w:p>
            <w:r>
              <w:rPr>
                <w:rFonts w:ascii="Calibri" w:hAnsi="Calibri"/>
                <w:sz w:val="22"/>
              </w:rPr>
              <w:t>$1,959M</w:t>
            </w:r>
          </w:p>
        </w:tc>
        <w:tc>
          <w:tcPr>
            <w:tcW w:type="dxa" w:w="1234"/>
          </w:tcPr>
          <w:p>
            <w:r>
              <w:rPr>
                <w:rFonts w:ascii="Calibri" w:hAnsi="Calibri"/>
                <w:sz w:val="22"/>
              </w:rPr>
              <w:t>+10.2% YoY</w:t>
            </w:r>
          </w:p>
        </w:tc>
        <w:tc>
          <w:tcPr>
            <w:tcW w:type="dxa" w:w="1234"/>
          </w:tcPr>
          <w:p>
            <w:r>
              <w:rPr>
                <w:rFonts w:ascii="Calibri" w:hAnsi="Calibri"/>
                <w:sz w:val="22"/>
              </w:rPr>
              <w:t>Up high single digits %</w:t>
            </w:r>
          </w:p>
        </w:tc>
        <w:tc>
          <w:tcPr>
            <w:tcW w:type="dxa" w:w="1234"/>
          </w:tcPr>
          <w:p>
            <w:r>
              <w:rPr>
                <w:rFonts w:ascii="Calibri" w:hAnsi="Calibri"/>
                <w:sz w:val="22"/>
              </w:rPr>
              <w:t>In line</w:t>
            </w:r>
          </w:p>
        </w:tc>
      </w:tr>
      <w:tr>
        <w:tc>
          <w:tcPr>
            <w:tcW w:type="dxa" w:w="1234"/>
          </w:tcPr>
          <w:p>
            <w:r>
              <w:rPr>
                <w:rFonts w:ascii="Calibri" w:hAnsi="Calibri"/>
                <w:sz w:val="22"/>
              </w:rPr>
              <w:t>Adj. EPS (Diluted Operating)</w:t>
            </w:r>
          </w:p>
        </w:tc>
        <w:tc>
          <w:tcPr>
            <w:tcW w:type="dxa" w:w="1234"/>
          </w:tcPr>
          <w:p>
            <w:r>
              <w:rPr>
                <w:rFonts w:ascii="Calibri" w:hAnsi="Calibri"/>
                <w:sz w:val="22"/>
              </w:rPr>
              <w:t>$1.74</w:t>
            </w:r>
          </w:p>
        </w:tc>
        <w:tc>
          <w:tcPr>
            <w:tcW w:type="dxa" w:w="1234"/>
          </w:tcPr>
          <w:p>
            <w:r>
              <w:rPr>
                <w:rFonts w:ascii="Calibri" w:hAnsi="Calibri"/>
                <w:sz w:val="22"/>
              </w:rPr>
              <w:t>$1.55</w:t>
            </w:r>
          </w:p>
        </w:tc>
        <w:tc>
          <w:tcPr>
            <w:tcW w:type="dxa" w:w="1234"/>
          </w:tcPr>
          <w:p>
            <w:r>
              <w:rPr>
                <w:rFonts w:ascii="Calibri" w:hAnsi="Calibri"/>
                <w:sz w:val="22"/>
              </w:rPr>
              <w:t>$1.76</w:t>
            </w:r>
          </w:p>
        </w:tc>
        <w:tc>
          <w:tcPr>
            <w:tcW w:type="dxa" w:w="1234"/>
          </w:tcPr>
          <w:p>
            <w:r>
              <w:rPr>
                <w:rFonts w:ascii="Calibri" w:hAnsi="Calibri"/>
                <w:sz w:val="22"/>
              </w:rPr>
              <w:t>+13.5% YoY</w:t>
            </w:r>
          </w:p>
        </w:tc>
        <w:tc>
          <w:tcPr>
            <w:tcW w:type="dxa" w:w="1234"/>
          </w:tcPr>
          <w:p>
            <w:r>
              <w:rPr>
                <w:rFonts w:ascii="Calibri" w:hAnsi="Calibri"/>
                <w:sz w:val="22"/>
              </w:rPr>
              <w:t>$1.96–$2.00</w:t>
            </w:r>
          </w:p>
        </w:tc>
        <w:tc>
          <w:tcPr>
            <w:tcW w:type="dxa" w:w="1234"/>
          </w:tcPr>
          <w:p>
            <w:r>
              <w:rPr>
                <w:rFonts w:ascii="Calibri" w:hAnsi="Calibri"/>
                <w:b/>
                <w:sz w:val="22"/>
              </w:rPr>
              <w:t>~−11% below midpoint</w:t>
            </w:r>
          </w:p>
        </w:tc>
      </w:tr>
      <w:tr>
        <w:tc>
          <w:tcPr>
            <w:tcW w:type="dxa" w:w="1234"/>
          </w:tcPr>
          <w:p>
            <w:r>
              <w:rPr>
                <w:rFonts w:ascii="Calibri" w:hAnsi="Calibri"/>
                <w:sz w:val="22"/>
              </w:rPr>
              <w:t>Core Operating Margin (Operating %)</w:t>
            </w:r>
          </w:p>
        </w:tc>
        <w:tc>
          <w:tcPr>
            <w:tcW w:type="dxa" w:w="1234"/>
          </w:tcPr>
          <w:p>
            <w:r>
              <w:rPr>
                <w:rFonts w:ascii="Calibri" w:hAnsi="Calibri"/>
                <w:sz w:val="22"/>
              </w:rPr>
              <w:t>26.8% (core 27.9%)</w:t>
            </w:r>
          </w:p>
        </w:tc>
        <w:tc>
          <w:tcPr>
            <w:tcW w:type="dxa" w:w="1234"/>
          </w:tcPr>
          <w:p>
            <w:r>
              <w:rPr>
                <w:rFonts w:ascii="Calibri" w:hAnsi="Calibri"/>
                <w:sz w:val="22"/>
              </w:rPr>
              <w:t>25.96%</w:t>
            </w:r>
          </w:p>
        </w:tc>
        <w:tc>
          <w:tcPr>
            <w:tcW w:type="dxa" w:w="1234"/>
          </w:tcPr>
          <w:p>
            <w:r>
              <w:rPr>
                <w:rFonts w:ascii="Calibri" w:hAnsi="Calibri"/>
                <w:sz w:val="22"/>
              </w:rPr>
              <w:t>~26.8%</w:t>
            </w:r>
          </w:p>
        </w:tc>
        <w:tc>
          <w:tcPr>
            <w:tcW w:type="dxa" w:w="1234"/>
          </w:tcPr>
          <w:p>
            <w:r>
              <w:rPr>
                <w:rFonts w:ascii="Calibri" w:hAnsi="Calibri"/>
                <w:sz w:val="22"/>
              </w:rPr>
              <w:t>+84 bps YoY</w:t>
            </w:r>
          </w:p>
        </w:tc>
        <w:tc>
          <w:tcPr>
            <w:tcW w:type="dxa" w:w="1234"/>
          </w:tcPr>
          <w:p>
            <w:r>
              <w:rPr>
                <w:rFonts w:ascii="Calibri" w:hAnsi="Calibri"/>
                <w:sz w:val="22"/>
              </w:rPr>
              <w:t>35% incrementals; core margins +50 bps FY</w:t>
            </w:r>
          </w:p>
        </w:tc>
        <w:tc>
          <w:tcPr>
            <w:tcW w:type="dxa" w:w="1234"/>
          </w:tcPr>
          <w:p>
            <w:r>
              <w:rPr>
                <w:rFonts w:ascii="Calibri" w:hAnsi="Calibri"/>
                <w:sz w:val="22"/>
              </w:rPr>
              <w:t>In line</w:t>
            </w:r>
          </w:p>
        </w:tc>
      </w:tr>
      <w:tr>
        <w:tc>
          <w:tcPr>
            <w:tcW w:type="dxa" w:w="1234"/>
          </w:tcPr>
          <w:p>
            <w:r>
              <w:rPr>
                <w:rFonts w:ascii="Calibri" w:hAnsi="Calibri"/>
                <w:sz w:val="22"/>
              </w:rPr>
              <w:t>Organic Growth (%)</w:t>
            </w:r>
          </w:p>
        </w:tc>
        <w:tc>
          <w:tcPr>
            <w:tcW w:type="dxa" w:w="1234"/>
          </w:tcPr>
          <w:p>
            <w:r>
              <w:rPr>
                <w:rFonts w:ascii="Calibri" w:hAnsi="Calibri"/>
                <w:sz w:val="22"/>
              </w:rPr>
              <w:t>+5.1%</w:t>
            </w:r>
          </w:p>
        </w:tc>
        <w:tc>
          <w:tcPr>
            <w:tcW w:type="dxa" w:w="1234"/>
          </w:tcPr>
          <w:p>
            <w:r>
              <w:rPr>
                <w:rFonts w:ascii="Calibri" w:hAnsi="Calibri"/>
                <w:sz w:val="22"/>
              </w:rPr>
              <w:t>−0.1%</w:t>
            </w:r>
          </w:p>
        </w:tc>
        <w:tc>
          <w:tcPr>
            <w:tcW w:type="dxa" w:w="1234"/>
          </w:tcPr>
          <w:p>
            <w:r>
              <w:rPr>
                <w:rFonts w:ascii="Calibri" w:hAnsi="Calibri"/>
                <w:sz w:val="22"/>
              </w:rPr>
              <w:t>~+5.0%</w:t>
            </w:r>
          </w:p>
        </w:tc>
        <w:tc>
          <w:tcPr>
            <w:tcW w:type="dxa" w:w="1234"/>
          </w:tcPr>
          <w:p>
            <w:r>
              <w:rPr>
                <w:rFonts w:ascii="Calibri" w:hAnsi="Calibri"/>
                <w:sz w:val="22"/>
              </w:rPr>
              <w:t>+500 bps YoY</w:t>
            </w:r>
          </w:p>
        </w:tc>
        <w:tc>
          <w:tcPr>
            <w:tcW w:type="dxa" w:w="1234"/>
          </w:tcPr>
          <w:p>
            <w:r>
              <w:rPr>
                <w:rFonts w:ascii="Calibri" w:hAnsi="Calibri"/>
                <w:sz w:val="22"/>
              </w:rPr>
              <w:t>Mid-single digits FY</w:t>
            </w:r>
          </w:p>
        </w:tc>
        <w:tc>
          <w:tcPr>
            <w:tcW w:type="dxa" w:w="1234"/>
          </w:tcPr>
          <w:p>
            <w:r>
              <w:rPr>
                <w:rFonts w:ascii="Calibri" w:hAnsi="Calibri"/>
                <w:sz w:val="22"/>
              </w:rPr>
              <w:t>In line</w:t>
            </w:r>
          </w:p>
        </w:tc>
      </w:tr>
      <w:tr>
        <w:tc>
          <w:tcPr>
            <w:tcW w:type="dxa" w:w="1234"/>
          </w:tcPr>
          <w:p>
            <w:r>
              <w:rPr>
                <w:rFonts w:ascii="Calibri" w:hAnsi="Calibri"/>
                <w:sz w:val="22"/>
              </w:rPr>
              <w:t>Orders ($M)</w:t>
            </w:r>
          </w:p>
        </w:tc>
        <w:tc>
          <w:tcPr>
            <w:tcW w:type="dxa" w:w="1234"/>
          </w:tcPr>
          <w:p>
            <w:r>
              <w:rPr>
                <w:rFonts w:ascii="Calibri" w:hAnsi="Calibri"/>
                <w:sz w:val="22"/>
              </w:rPr>
              <w:t>$2,218M (record)</w:t>
            </w:r>
          </w:p>
        </w:tc>
        <w:tc>
          <w:tcPr>
            <w:tcW w:type="dxa" w:w="1234"/>
          </w:tcPr>
          <w:p>
            <w:r>
              <w:rPr>
                <w:rFonts w:ascii="Calibri" w:hAnsi="Calibri"/>
                <w:sz w:val="22"/>
              </w:rPr>
              <w:t>$1,782M</w:t>
            </w:r>
          </w:p>
        </w:tc>
        <w:tc>
          <w:tcPr>
            <w:tcW w:type="dxa" w:w="1234"/>
          </w:tcPr>
          <w:p>
            <w:r>
              <w:rPr>
                <w:rFonts w:ascii="Calibri" w:hAnsi="Calibri"/>
                <w:sz w:val="22"/>
              </w:rPr>
              <w:t>~$1,989M</w:t>
            </w:r>
          </w:p>
        </w:tc>
        <w:tc>
          <w:tcPr>
            <w:tcW w:type="dxa" w:w="1234"/>
          </w:tcPr>
          <w:p>
            <w:r>
              <w:rPr>
                <w:rFonts w:ascii="Calibri" w:hAnsi="Calibri"/>
                <w:sz w:val="22"/>
              </w:rPr>
              <w:t>+11.6% YoY</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Free Cash Flow ($M)</w:t>
            </w:r>
          </w:p>
        </w:tc>
        <w:tc>
          <w:tcPr>
            <w:tcW w:type="dxa" w:w="1234"/>
          </w:tcPr>
          <w:p>
            <w:r>
              <w:rPr>
                <w:rFonts w:ascii="Calibri" w:hAnsi="Calibri"/>
                <w:sz w:val="22"/>
              </w:rPr>
              <w:t>$426M</w:t>
            </w:r>
          </w:p>
        </w:tc>
        <w:tc>
          <w:tcPr>
            <w:tcW w:type="dxa" w:w="1234"/>
          </w:tcPr>
          <w:p>
            <w:r>
              <w:rPr>
                <w:rFonts w:ascii="Calibri" w:hAnsi="Calibri"/>
                <w:sz w:val="22"/>
              </w:rPr>
              <w:t>$330M</w:t>
            </w:r>
          </w:p>
        </w:tc>
        <w:tc>
          <w:tcPr>
            <w:tcW w:type="dxa" w:w="1234"/>
          </w:tcPr>
          <w:p>
            <w:r>
              <w:rPr>
                <w:rFonts w:ascii="Calibri" w:hAnsi="Calibri"/>
                <w:sz w:val="22"/>
              </w:rPr>
              <w:t>~$479M</w:t>
            </w:r>
          </w:p>
        </w:tc>
        <w:tc>
          <w:tcPr>
            <w:tcW w:type="dxa" w:w="1234"/>
          </w:tcPr>
          <w:p>
            <w:r>
              <w:rPr>
                <w:rFonts w:ascii="Calibri" w:hAnsi="Calibri"/>
                <w:sz w:val="22"/>
              </w:rPr>
              <w:t>+45.2% YoY</w:t>
            </w:r>
          </w:p>
        </w:tc>
        <w:tc>
          <w:tcPr>
            <w:tcW w:type="dxa" w:w="1234"/>
          </w:tcPr>
          <w:p>
            <w:r>
              <w:rPr>
                <w:rFonts w:ascii="Calibri" w:hAnsi="Calibri"/>
                <w:sz w:val="22"/>
              </w:rPr>
              <w:t>110–115% FCF conversion FY</w:t>
            </w:r>
          </w:p>
        </w:tc>
        <w:tc>
          <w:tcPr>
            <w:tcW w:type="dxa" w:w="1234"/>
          </w:tcPr>
          <w:p>
            <w:r>
              <w:rPr>
                <w:rFonts w:ascii="Calibri" w:hAnsi="Calibri"/>
                <w:sz w:val="22"/>
              </w:rPr>
              <w:t>In line</w:t>
            </w:r>
          </w:p>
        </w:tc>
      </w:tr>
    </w:tbl>
    <w:p>
      <w:r>
        <w:rPr>
          <w:rFonts w:ascii="Calibri" w:hAnsi="Calibri"/>
          <w:i/>
          <w:color w:val="525866"/>
          <w:sz w:val="22"/>
        </w:rPr>
        <w:t>Source: Visible Alpha Consensus and Actuals Data. Q2 2026 consensus estimates as of latest available. Q1 2026 actuals from AME Q1 2026 earnings release (April 30, 2026). Management guidance from Q1 2026 earnings call.</w:t>
      </w:r>
    </w:p>
    <w:p>
      <w:pPr>
        <w:pStyle w:val="Heading3"/>
      </w:pPr>
      <w:r>
        <w:rPr>
          <w:rFonts w:ascii="Calibri" w:hAnsi="Calibri"/>
          <w:b/>
          <w:color w:val="3B4259"/>
          <w:sz w:val="24"/>
        </w:rPr>
        <w:t>Table 2 — Beat/Miss History (Last 8 Quarters, Top 2 KPIs: Adj. EPS &amp; Net Sales)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$1.74</w:t>
            </w:r>
          </w:p>
        </w:tc>
        <w:tc>
          <w:tcPr>
            <w:tcW w:type="dxa" w:w="1440"/>
          </w:tcPr>
          <w:p>
            <w:r>
              <w:rPr>
                <w:rFonts w:ascii="Calibri" w:hAnsi="Calibri"/>
                <w:sz w:val="22"/>
              </w:rPr>
              <w:t>$1.67</w:t>
            </w:r>
          </w:p>
        </w:tc>
        <w:tc>
          <w:tcPr>
            <w:tcW w:type="dxa" w:w="1440"/>
          </w:tcPr>
          <w:p>
            <w:r>
              <w:rPr>
                <w:rFonts w:ascii="Calibri" w:hAnsi="Calibri"/>
                <w:b/>
                <w:sz w:val="22"/>
              </w:rPr>
              <w:t>+4.2%</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Net Sales</w:t>
            </w:r>
          </w:p>
        </w:tc>
        <w:tc>
          <w:tcPr>
            <w:tcW w:type="dxa" w:w="1440"/>
          </w:tcPr>
          <w:p>
            <w:r>
              <w:rPr>
                <w:rFonts w:ascii="Calibri" w:hAnsi="Calibri"/>
                <w:sz w:val="22"/>
              </w:rPr>
              <w:t>$1,928M</w:t>
            </w:r>
          </w:p>
        </w:tc>
        <w:tc>
          <w:tcPr>
            <w:tcW w:type="dxa" w:w="1440"/>
          </w:tcPr>
          <w:p>
            <w:r>
              <w:rPr>
                <w:rFonts w:ascii="Calibri" w:hAnsi="Calibri"/>
                <w:sz w:val="22"/>
              </w:rPr>
              <w:t>$1,916M</w:t>
            </w:r>
          </w:p>
        </w:tc>
        <w:tc>
          <w:tcPr>
            <w:tcW w:type="dxa" w:w="1440"/>
          </w:tcPr>
          <w:p>
            <w:r>
              <w:rPr>
                <w:rFonts w:ascii="Calibri" w:hAnsi="Calibri"/>
                <w:sz w:val="22"/>
              </w:rPr>
              <w:t>+0.6%</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$1.79</w:t>
            </w:r>
          </w:p>
        </w:tc>
        <w:tc>
          <w:tcPr>
            <w:tcW w:type="dxa" w:w="1440"/>
          </w:tcPr>
          <w:p>
            <w:r>
              <w:rPr>
                <w:rFonts w:ascii="Calibri" w:hAnsi="Calibri"/>
                <w:sz w:val="22"/>
              </w:rPr>
              <w:t>$1.72</w:t>
            </w:r>
          </w:p>
        </w:tc>
        <w:tc>
          <w:tcPr>
            <w:tcW w:type="dxa" w:w="1440"/>
          </w:tcPr>
          <w:p>
            <w:r>
              <w:rPr>
                <w:rFonts w:ascii="Calibri" w:hAnsi="Calibri"/>
                <w:b/>
                <w:sz w:val="22"/>
              </w:rPr>
              <w:t>+4.1%</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Net Sales</w:t>
            </w:r>
          </w:p>
        </w:tc>
        <w:tc>
          <w:tcPr>
            <w:tcW w:type="dxa" w:w="1440"/>
          </w:tcPr>
          <w:p>
            <w:r>
              <w:rPr>
                <w:rFonts w:ascii="Calibri" w:hAnsi="Calibri"/>
                <w:sz w:val="22"/>
              </w:rPr>
              <w:t>$1,998M</w:t>
            </w:r>
          </w:p>
        </w:tc>
        <w:tc>
          <w:tcPr>
            <w:tcW w:type="dxa" w:w="1440"/>
          </w:tcPr>
          <w:p>
            <w:r>
              <w:rPr>
                <w:rFonts w:ascii="Calibri" w:hAnsi="Calibri"/>
                <w:sz w:val="22"/>
              </w:rPr>
              <w:t>$1,950M</w:t>
            </w:r>
          </w:p>
        </w:tc>
        <w:tc>
          <w:tcPr>
            <w:tcW w:type="dxa" w:w="1440"/>
          </w:tcPr>
          <w:p>
            <w:r>
              <w:rPr>
                <w:rFonts w:ascii="Calibri" w:hAnsi="Calibri"/>
                <w:sz w:val="22"/>
              </w:rPr>
              <w:t>+2.5%</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$1.67</w:t>
            </w:r>
          </w:p>
        </w:tc>
        <w:tc>
          <w:tcPr>
            <w:tcW w:type="dxa" w:w="1440"/>
          </w:tcPr>
          <w:p>
            <w:r>
              <w:rPr>
                <w:rFonts w:ascii="Calibri" w:hAnsi="Calibri"/>
                <w:sz w:val="22"/>
              </w:rPr>
              <w:t>$1.53</w:t>
            </w:r>
          </w:p>
        </w:tc>
        <w:tc>
          <w:tcPr>
            <w:tcW w:type="dxa" w:w="1440"/>
          </w:tcPr>
          <w:p>
            <w:r>
              <w:rPr>
                <w:rFonts w:ascii="Calibri" w:hAnsi="Calibri"/>
                <w:b/>
                <w:sz w:val="22"/>
              </w:rPr>
              <w:t>+9.2%</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Net Sales</w:t>
            </w:r>
          </w:p>
        </w:tc>
        <w:tc>
          <w:tcPr>
            <w:tcW w:type="dxa" w:w="1440"/>
          </w:tcPr>
          <w:p>
            <w:r>
              <w:rPr>
                <w:rFonts w:ascii="Calibri" w:hAnsi="Calibri"/>
                <w:sz w:val="22"/>
              </w:rPr>
              <w:t>$1,893M</w:t>
            </w:r>
          </w:p>
        </w:tc>
        <w:tc>
          <w:tcPr>
            <w:tcW w:type="dxa" w:w="1440"/>
          </w:tcPr>
          <w:p>
            <w:r>
              <w:rPr>
                <w:rFonts w:ascii="Calibri" w:hAnsi="Calibri"/>
                <w:sz w:val="22"/>
              </w:rPr>
              <w:t>$1,815M</w:t>
            </w:r>
          </w:p>
        </w:tc>
        <w:tc>
          <w:tcPr>
            <w:tcW w:type="dxa" w:w="1440"/>
          </w:tcPr>
          <w:p>
            <w:r>
              <w:rPr>
                <w:rFonts w:ascii="Calibri" w:hAnsi="Calibri"/>
                <w:sz w:val="22"/>
              </w:rPr>
              <w:t>+4.3%</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$1.55</w:t>
            </w:r>
          </w:p>
        </w:tc>
        <w:tc>
          <w:tcPr>
            <w:tcW w:type="dxa" w:w="1440"/>
          </w:tcPr>
          <w:p>
            <w:r>
              <w:rPr>
                <w:rFonts w:ascii="Calibri" w:hAnsi="Calibri"/>
                <w:sz w:val="22"/>
              </w:rPr>
              <w:t>$1.44</w:t>
            </w:r>
          </w:p>
        </w:tc>
        <w:tc>
          <w:tcPr>
            <w:tcW w:type="dxa" w:w="1440"/>
          </w:tcPr>
          <w:p>
            <w:r>
              <w:rPr>
                <w:rFonts w:ascii="Calibri" w:hAnsi="Calibri"/>
                <w:b/>
                <w:sz w:val="22"/>
              </w:rPr>
              <w:t>+7.6%</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Net Sales</w:t>
            </w:r>
          </w:p>
        </w:tc>
        <w:tc>
          <w:tcPr>
            <w:tcW w:type="dxa" w:w="1440"/>
          </w:tcPr>
          <w:p>
            <w:r>
              <w:rPr>
                <w:rFonts w:ascii="Calibri" w:hAnsi="Calibri"/>
                <w:sz w:val="22"/>
              </w:rPr>
              <w:t>$1,778M</w:t>
            </w:r>
          </w:p>
        </w:tc>
        <w:tc>
          <w:tcPr>
            <w:tcW w:type="dxa" w:w="1440"/>
          </w:tcPr>
          <w:p>
            <w:r>
              <w:rPr>
                <w:rFonts w:ascii="Calibri" w:hAnsi="Calibri"/>
                <w:sz w:val="22"/>
              </w:rPr>
              <w:t>$1,730M</w:t>
            </w:r>
          </w:p>
        </w:tc>
        <w:tc>
          <w:tcPr>
            <w:tcW w:type="dxa" w:w="1440"/>
          </w:tcPr>
          <w:p>
            <w:r>
              <w:rPr>
                <w:rFonts w:ascii="Calibri" w:hAnsi="Calibri"/>
                <w:sz w:val="22"/>
              </w:rPr>
              <w:t>+2.8%</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$1.52</w:t>
            </w:r>
          </w:p>
        </w:tc>
        <w:tc>
          <w:tcPr>
            <w:tcW w:type="dxa" w:w="1440"/>
          </w:tcPr>
          <w:p>
            <w:r>
              <w:rPr>
                <w:rFonts w:ascii="Calibri" w:hAnsi="Calibri"/>
                <w:sz w:val="22"/>
              </w:rPr>
              <w:t>$1.49</w:t>
            </w:r>
          </w:p>
        </w:tc>
        <w:tc>
          <w:tcPr>
            <w:tcW w:type="dxa" w:w="1440"/>
          </w:tcPr>
          <w:p>
            <w:r>
              <w:rPr>
                <w:rFonts w:ascii="Calibri" w:hAnsi="Calibri"/>
                <w:sz w:val="22"/>
              </w:rPr>
              <w:t>+2.0%</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Net Sales</w:t>
            </w:r>
          </w:p>
        </w:tc>
        <w:tc>
          <w:tcPr>
            <w:tcW w:type="dxa" w:w="1440"/>
          </w:tcPr>
          <w:p>
            <w:r>
              <w:rPr>
                <w:rFonts w:ascii="Calibri" w:hAnsi="Calibri"/>
                <w:sz w:val="22"/>
              </w:rPr>
              <w:t>$1,732M</w:t>
            </w:r>
          </w:p>
        </w:tc>
        <w:tc>
          <w:tcPr>
            <w:tcW w:type="dxa" w:w="1440"/>
          </w:tcPr>
          <w:p>
            <w:r>
              <w:rPr>
                <w:rFonts w:ascii="Calibri" w:hAnsi="Calibri"/>
                <w:sz w:val="22"/>
              </w:rPr>
              <w:t>$1,744M</w:t>
            </w:r>
          </w:p>
        </w:tc>
        <w:tc>
          <w:tcPr>
            <w:tcW w:type="dxa" w:w="1440"/>
          </w:tcPr>
          <w:p>
            <w:r>
              <w:rPr>
                <w:rFonts w:ascii="Calibri" w:hAnsi="Calibri"/>
                <w:sz w:val="22"/>
              </w:rPr>
              <w:t>−0.7%</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$1.67</w:t>
            </w:r>
          </w:p>
        </w:tc>
        <w:tc>
          <w:tcPr>
            <w:tcW w:type="dxa" w:w="1440"/>
          </w:tcPr>
          <w:p>
            <w:r>
              <w:rPr>
                <w:rFonts w:ascii="Calibri" w:hAnsi="Calibri"/>
                <w:sz w:val="22"/>
              </w:rPr>
              <w:t>$1.65</w:t>
            </w:r>
          </w:p>
        </w:tc>
        <w:tc>
          <w:tcPr>
            <w:tcW w:type="dxa" w:w="1440"/>
          </w:tcPr>
          <w:p>
            <w:r>
              <w:rPr>
                <w:rFonts w:ascii="Calibri" w:hAnsi="Calibri"/>
                <w:sz w:val="22"/>
              </w:rPr>
              <w:t>+1.2%</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Net Sales</w:t>
            </w:r>
          </w:p>
        </w:tc>
        <w:tc>
          <w:tcPr>
            <w:tcW w:type="dxa" w:w="1440"/>
          </w:tcPr>
          <w:p>
            <w:r>
              <w:rPr>
                <w:rFonts w:ascii="Calibri" w:hAnsi="Calibri"/>
                <w:sz w:val="22"/>
              </w:rPr>
              <w:t>$1,762M</w:t>
            </w:r>
          </w:p>
        </w:tc>
        <w:tc>
          <w:tcPr>
            <w:tcW w:type="dxa" w:w="1440"/>
          </w:tcPr>
          <w:p>
            <w:r>
              <w:rPr>
                <w:rFonts w:ascii="Calibri" w:hAnsi="Calibri"/>
                <w:sz w:val="22"/>
              </w:rPr>
              <w:t>$1,827M</w:t>
            </w:r>
          </w:p>
        </w:tc>
        <w:tc>
          <w:tcPr>
            <w:tcW w:type="dxa" w:w="1440"/>
          </w:tcPr>
          <w:p>
            <w:r>
              <w:rPr>
                <w:rFonts w:ascii="Calibri" w:hAnsi="Calibri"/>
                <w:sz w:val="22"/>
              </w:rPr>
              <w:t>−3.5%</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$1.47</w:t>
            </w:r>
          </w:p>
        </w:tc>
        <w:tc>
          <w:tcPr>
            <w:tcW w:type="dxa" w:w="1440"/>
          </w:tcPr>
          <w:p>
            <w:r>
              <w:rPr>
                <w:rFonts w:ascii="Calibri" w:hAnsi="Calibri"/>
                <w:sz w:val="22"/>
              </w:rPr>
              <w:t>$1.41</w:t>
            </w:r>
          </w:p>
        </w:tc>
        <w:tc>
          <w:tcPr>
            <w:tcW w:type="dxa" w:w="1440"/>
          </w:tcPr>
          <w:p>
            <w:r>
              <w:rPr>
                <w:rFonts w:ascii="Calibri" w:hAnsi="Calibri"/>
                <w:sz w:val="22"/>
              </w:rPr>
              <w:t>+4.3%</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Net Sales</w:t>
            </w:r>
          </w:p>
        </w:tc>
        <w:tc>
          <w:tcPr>
            <w:tcW w:type="dxa" w:w="1440"/>
          </w:tcPr>
          <w:p>
            <w:r>
              <w:rPr>
                <w:rFonts w:ascii="Calibri" w:hAnsi="Calibri"/>
                <w:sz w:val="22"/>
              </w:rPr>
              <w:t>$1,709M</w:t>
            </w:r>
          </w:p>
        </w:tc>
        <w:tc>
          <w:tcPr>
            <w:tcW w:type="dxa" w:w="1440"/>
          </w:tcPr>
          <w:p>
            <w:r>
              <w:rPr>
                <w:rFonts w:ascii="Calibri" w:hAnsi="Calibri"/>
                <w:sz w:val="22"/>
              </w:rPr>
              <w:t>$1,707M</w:t>
            </w:r>
          </w:p>
        </w:tc>
        <w:tc>
          <w:tcPr>
            <w:tcW w:type="dxa" w:w="1440"/>
          </w:tcPr>
          <w:p>
            <w:r>
              <w:rPr>
                <w:rFonts w:ascii="Calibri" w:hAnsi="Calibri"/>
                <w:sz w:val="22"/>
              </w:rPr>
              <w:t>+0.1%</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Adj. EPS</w:t>
            </w:r>
          </w:p>
        </w:tc>
        <w:tc>
          <w:tcPr>
            <w:tcW w:type="dxa" w:w="1440"/>
          </w:tcPr>
          <w:p>
            <w:r>
              <w:rPr>
                <w:rFonts w:ascii="Calibri" w:hAnsi="Calibri"/>
                <w:sz w:val="22"/>
              </w:rPr>
              <w:t>$1.45</w:t>
            </w:r>
          </w:p>
        </w:tc>
        <w:tc>
          <w:tcPr>
            <w:tcW w:type="dxa" w:w="1440"/>
          </w:tcPr>
          <w:p>
            <w:r>
              <w:rPr>
                <w:rFonts w:ascii="Calibri" w:hAnsi="Calibri"/>
                <w:sz w:val="22"/>
              </w:rPr>
              <w:t>$1.44</w:t>
            </w:r>
          </w:p>
        </w:tc>
        <w:tc>
          <w:tcPr>
            <w:tcW w:type="dxa" w:w="1440"/>
          </w:tcPr>
          <w:p>
            <w:r>
              <w:rPr>
                <w:rFonts w:ascii="Calibri" w:hAnsi="Calibri"/>
                <w:sz w:val="22"/>
              </w:rPr>
              <w:t>+0.7%</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Net Sales</w:t>
            </w:r>
          </w:p>
        </w:tc>
        <w:tc>
          <w:tcPr>
            <w:tcW w:type="dxa" w:w="1440"/>
          </w:tcPr>
          <w:p>
            <w:r>
              <w:rPr>
                <w:rFonts w:ascii="Calibri" w:hAnsi="Calibri"/>
                <w:sz w:val="22"/>
              </w:rPr>
              <w:t>$1,735M</w:t>
            </w:r>
          </w:p>
        </w:tc>
        <w:tc>
          <w:tcPr>
            <w:tcW w:type="dxa" w:w="1440"/>
          </w:tcPr>
          <w:p>
            <w:r>
              <w:rPr>
                <w:rFonts w:ascii="Calibri" w:hAnsi="Calibri"/>
                <w:sz w:val="22"/>
              </w:rPr>
              <w:t>$1,783M</w:t>
            </w:r>
          </w:p>
        </w:tc>
        <w:tc>
          <w:tcPr>
            <w:tcW w:type="dxa" w:w="1440"/>
          </w:tcPr>
          <w:p>
            <w:r>
              <w:rPr>
                <w:rFonts w:ascii="Calibri" w:hAnsi="Calibri"/>
                <w:sz w:val="22"/>
              </w:rPr>
              <w:t>−2.7%</w:t>
            </w:r>
          </w:p>
        </w:tc>
        <w:tc>
          <w:tcPr>
            <w:tcW w:type="dxa" w:w="1440"/>
          </w:tcPr>
          <w:p>
            <w:r>
              <w:rPr>
                <w:rFonts w:ascii="Calibri" w:hAnsi="Calibri"/>
                <w:b/>
                <w:color w:val="E5484D"/>
                <w:sz w:val="22"/>
              </w:rPr>
              <w:t>Miss</w:t>
            </w:r>
          </w:p>
        </w:tc>
      </w:tr>
    </w:tbl>
    <w:p>
      <w:r>
        <w:rPr>
          <w:rFonts w:ascii="Calibri" w:hAnsi="Calibri"/>
          <w:b/>
          <w:color w:val="525866"/>
          <w:sz w:val="22"/>
        </w:rPr>
        <w:t xml:space="preserve">Pattern: </w:t>
      </w:r>
      <w:r>
        <w:rPr>
          <w:rFonts w:ascii="Calibri" w:hAnsi="Calibri"/>
          <w:color w:val="525866"/>
          <w:sz w:val="22"/>
        </w:rPr>
        <w:t>AME has beaten adj. EPS consensus in 7 of the last 8 quarters with an average surprise of +4.2%; revenue beats are less consistent (5 of 8), with misses concentrated in periods of acquisition-driven revenue mix shifts. The EPS beat cadence is highly reliable and supports a low-bar setup into Q2 2026.</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 raised full-year EPS guidance at Q1 earnings (April 30) and has not issued any subsequent formal revision; the May 6 Indicor acquisition announcement is the dominant post-earnings development and introduces a new variable — deal financing costs and integration — that is not yet reflected in current guidance.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Adj. EPS</w:t>
            </w:r>
          </w:p>
        </w:tc>
        <w:tc>
          <w:tcPr>
            <w:tcW w:type="dxa" w:w="1728"/>
          </w:tcPr>
          <w:p>
            <w:r>
              <w:rPr>
                <w:rFonts w:ascii="Calibri" w:hAnsi="Calibri"/>
                <w:sz w:val="22"/>
              </w:rPr>
              <w:t>$1.96–$2.00 (+10–12% YoY)</w:t>
            </w:r>
          </w:p>
        </w:tc>
        <w:tc>
          <w:tcPr>
            <w:tcW w:type="dxa" w:w="1728"/>
          </w:tcPr>
          <w:p>
            <w:r>
              <w:rPr>
                <w:rFonts w:ascii="Calibri" w:hAnsi="Calibri"/>
                <w:sz w:val="22"/>
              </w:rPr>
              <w:t>—</w:t>
            </w:r>
          </w:p>
        </w:tc>
        <w:tc>
          <w:tcPr>
            <w:tcW w:type="dxa" w:w="1728"/>
          </w:tcPr>
          <w:p>
            <w:r>
              <w:rPr>
                <w:rFonts w:ascii="Calibri" w:hAnsi="Calibri"/>
                <w:sz w:val="22"/>
              </w:rPr>
              <w:t>$1.76</w:t>
            </w:r>
          </w:p>
        </w:tc>
        <w:tc>
          <w:tcPr>
            <w:tcW w:type="dxa" w:w="1728"/>
          </w:tcPr>
          <w:p>
            <w:r>
              <w:rPr>
                <w:rFonts w:ascii="Calibri" w:hAnsi="Calibri"/>
                <w:sz w:val="22"/>
              </w:rPr>
              <w:t>Consensus ~11% below guidance midpoint; no post-earnings revision to Q2 guide</w:t>
            </w:r>
          </w:p>
        </w:tc>
      </w:tr>
      <w:tr>
        <w:tc>
          <w:tcPr>
            <w:tcW w:type="dxa" w:w="1728"/>
          </w:tcPr>
          <w:p>
            <w:r>
              <w:rPr>
                <w:rFonts w:ascii="Calibri" w:hAnsi="Calibri"/>
                <w:sz w:val="22"/>
              </w:rPr>
              <w:t>Q2 2026 Net Sales</w:t>
            </w:r>
          </w:p>
        </w:tc>
        <w:tc>
          <w:tcPr>
            <w:tcW w:type="dxa" w:w="1728"/>
          </w:tcPr>
          <w:p>
            <w:r>
              <w:rPr>
                <w:rFonts w:ascii="Calibri" w:hAnsi="Calibri"/>
                <w:sz w:val="22"/>
              </w:rPr>
              <w:t>Up high single digits % YoY</w:t>
            </w:r>
          </w:p>
        </w:tc>
        <w:tc>
          <w:tcPr>
            <w:tcW w:type="dxa" w:w="1728"/>
          </w:tcPr>
          <w:p>
            <w:r>
              <w:rPr>
                <w:rFonts w:ascii="Calibri" w:hAnsi="Calibri"/>
                <w:sz w:val="22"/>
              </w:rPr>
              <w:t>—</w:t>
            </w:r>
          </w:p>
        </w:tc>
        <w:tc>
          <w:tcPr>
            <w:tcW w:type="dxa" w:w="1728"/>
          </w:tcPr>
          <w:p>
            <w:r>
              <w:rPr>
                <w:rFonts w:ascii="Calibri" w:hAnsi="Calibri"/>
                <w:sz w:val="22"/>
              </w:rPr>
              <w:t>$1,959M (+10.2% YoY)</w:t>
            </w:r>
          </w:p>
        </w:tc>
        <w:tc>
          <w:tcPr>
            <w:tcW w:type="dxa" w:w="1728"/>
          </w:tcPr>
          <w:p>
            <w:r>
              <w:rPr>
                <w:rFonts w:ascii="Calibri" w:hAnsi="Calibri"/>
                <w:sz w:val="22"/>
              </w:rPr>
              <w:t>Consensus in line with guidance range</w:t>
            </w:r>
          </w:p>
        </w:tc>
      </w:tr>
      <w:tr>
        <w:tc>
          <w:tcPr>
            <w:tcW w:type="dxa" w:w="1728"/>
          </w:tcPr>
          <w:p>
            <w:r>
              <w:rPr>
                <w:rFonts w:ascii="Calibri" w:hAnsi="Calibri"/>
                <w:sz w:val="22"/>
              </w:rPr>
              <w:t>FY 2026 Adj. EPS</w:t>
            </w:r>
          </w:p>
        </w:tc>
        <w:tc>
          <w:tcPr>
            <w:tcW w:type="dxa" w:w="1728"/>
          </w:tcPr>
          <w:p>
            <w:r>
              <w:rPr>
                <w:rFonts w:ascii="Calibri" w:hAnsi="Calibri"/>
                <w:sz w:val="22"/>
              </w:rPr>
              <w:t>$7.94–$8.14 (+7–10% YoY); raised from $7.87–$8.07</w:t>
            </w:r>
          </w:p>
        </w:tc>
        <w:tc>
          <w:tcPr>
            <w:tcW w:type="dxa" w:w="1728"/>
          </w:tcPr>
          <w:p>
            <w:r>
              <w:rPr>
                <w:rFonts w:ascii="Calibri" w:hAnsi="Calibri"/>
                <w:sz w:val="22"/>
              </w:rPr>
              <w:t>—</w:t>
            </w:r>
          </w:p>
        </w:tc>
        <w:tc>
          <w:tcPr>
            <w:tcW w:type="dxa" w:w="1728"/>
          </w:tcPr>
          <w:p>
            <w:r>
              <w:rPr>
                <w:rFonts w:ascii="Calibri" w:hAnsi="Calibri"/>
                <w:sz w:val="22"/>
              </w:rPr>
              <w:t>$7.25</w:t>
            </w:r>
          </w:p>
        </w:tc>
        <w:tc>
          <w:tcPr>
            <w:tcW w:type="dxa" w:w="1728"/>
          </w:tcPr>
          <w:p>
            <w:r>
              <w:rPr>
                <w:rFonts w:ascii="Calibri" w:hAnsi="Calibri"/>
                <w:sz w:val="22"/>
              </w:rPr>
              <w:t>Consensus well below guidance midpoint; likely reflects Indicor dilution uncertainty not yet modeled by sell-side</w:t>
            </w:r>
          </w:p>
        </w:tc>
      </w:tr>
      <w:tr>
        <w:tc>
          <w:tcPr>
            <w:tcW w:type="dxa" w:w="1728"/>
          </w:tcPr>
          <w:p>
            <w:r>
              <w:rPr>
                <w:rFonts w:ascii="Calibri" w:hAnsi="Calibri"/>
                <w:sz w:val="22"/>
              </w:rPr>
              <w:t>FY 2026 Organic Sales Growth</w:t>
            </w:r>
          </w:p>
        </w:tc>
        <w:tc>
          <w:tcPr>
            <w:tcW w:type="dxa" w:w="1728"/>
          </w:tcPr>
          <w:p>
            <w:r>
              <w:rPr>
                <w:rFonts w:ascii="Calibri" w:hAnsi="Calibri"/>
                <w:sz w:val="22"/>
              </w:rPr>
              <w:t>Mid-single digits (raised from low-to-mid)</w:t>
            </w:r>
          </w:p>
        </w:tc>
        <w:tc>
          <w:tcPr>
            <w:tcW w:type="dxa" w:w="1728"/>
          </w:tcPr>
          <w:p>
            <w:r>
              <w:rPr>
                <w:rFonts w:ascii="Calibri" w:hAnsi="Calibri"/>
                <w:sz w:val="22"/>
              </w:rPr>
              <w:t>—</w:t>
            </w:r>
          </w:p>
        </w:tc>
        <w:tc>
          <w:tcPr>
            <w:tcW w:type="dxa" w:w="1728"/>
          </w:tcPr>
          <w:p>
            <w:r>
              <w:rPr>
                <w:rFonts w:ascii="Calibri" w:hAnsi="Calibri"/>
                <w:sz w:val="22"/>
              </w:rPr>
              <w:t>~5.2%</w:t>
            </w:r>
          </w:p>
        </w:tc>
        <w:tc>
          <w:tcPr>
            <w:tcW w:type="dxa" w:w="1728"/>
          </w:tcPr>
          <w:p>
            <w:r>
              <w:rPr>
                <w:rFonts w:ascii="Calibri" w:hAnsi="Calibri"/>
                <w:sz w:val="22"/>
              </w:rPr>
              <w:t>In line with guidance; Process raised to low-to-mid SD, A&amp;D raised to ~10%</w:t>
            </w:r>
          </w:p>
        </w:tc>
      </w:tr>
      <w:tr>
        <w:tc>
          <w:tcPr>
            <w:tcW w:type="dxa" w:w="1728"/>
          </w:tcPr>
          <w:p>
            <w:r>
              <w:rPr>
                <w:rFonts w:ascii="Calibri" w:hAnsi="Calibri"/>
                <w:sz w:val="22"/>
              </w:rPr>
              <w:t>FY 2026 Total Sales Growth</w:t>
            </w:r>
          </w:p>
        </w:tc>
        <w:tc>
          <w:tcPr>
            <w:tcW w:type="dxa" w:w="1728"/>
          </w:tcPr>
          <w:p>
            <w:r>
              <w:rPr>
                <w:rFonts w:ascii="Calibri" w:hAnsi="Calibri"/>
                <w:sz w:val="22"/>
              </w:rPr>
              <w:t>High single digits % (includes acquisitions)</w:t>
            </w:r>
          </w:p>
        </w:tc>
        <w:tc>
          <w:tcPr>
            <w:tcW w:type="dxa" w:w="1728"/>
          </w:tcPr>
          <w:p>
            <w:r>
              <w:rPr>
                <w:rFonts w:ascii="Calibri" w:hAnsi="Calibri"/>
                <w:sz w:val="22"/>
              </w:rPr>
              <w:t>—</w:t>
            </w:r>
          </w:p>
        </w:tc>
        <w:tc>
          <w:tcPr>
            <w:tcW w:type="dxa" w:w="1728"/>
          </w:tcPr>
          <w:p>
            <w:r>
              <w:rPr>
                <w:rFonts w:ascii="Calibri" w:hAnsi="Calibri"/>
                <w:sz w:val="22"/>
              </w:rPr>
              <w:t>~$8.03B (+8.5% YoY)</w:t>
            </w:r>
          </w:p>
        </w:tc>
        <w:tc>
          <w:tcPr>
            <w:tcW w:type="dxa" w:w="1728"/>
          </w:tcPr>
          <w:p>
            <w:r>
              <w:rPr>
                <w:rFonts w:ascii="Calibri" w:hAnsi="Calibri"/>
                <w:sz w:val="22"/>
              </w:rPr>
              <w:t>In line; Indicor not yet in consensus (deal expected to close H2 2026)</w:t>
            </w:r>
          </w:p>
        </w:tc>
      </w:tr>
      <w:tr>
        <w:tc>
          <w:tcPr>
            <w:tcW w:type="dxa" w:w="1728"/>
          </w:tcPr>
          <w:p>
            <w:r>
              <w:rPr>
                <w:rFonts w:ascii="Calibri" w:hAnsi="Calibri"/>
                <w:sz w:val="22"/>
              </w:rPr>
              <w:t>Core Operating Margin (FY)</w:t>
            </w:r>
          </w:p>
        </w:tc>
        <w:tc>
          <w:tcPr>
            <w:tcW w:type="dxa" w:w="1728"/>
          </w:tcPr>
          <w:p>
            <w:r>
              <w:rPr>
                <w:rFonts w:ascii="Calibri" w:hAnsi="Calibri"/>
                <w:sz w:val="22"/>
              </w:rPr>
              <w:t>Up ~50 bps; 35% incrementals</w:t>
            </w:r>
          </w:p>
        </w:tc>
        <w:tc>
          <w:tcPr>
            <w:tcW w:type="dxa" w:w="1728"/>
          </w:tcPr>
          <w:p>
            <w:r>
              <w:rPr>
                <w:rFonts w:ascii="Calibri" w:hAnsi="Calibri"/>
                <w:sz w:val="22"/>
              </w:rPr>
              <w:t>—</w:t>
            </w:r>
          </w:p>
        </w:tc>
        <w:tc>
          <w:tcPr>
            <w:tcW w:type="dxa" w:w="1728"/>
          </w:tcPr>
          <w:p>
            <w:r>
              <w:rPr>
                <w:rFonts w:ascii="Calibri" w:hAnsi="Calibri"/>
                <w:sz w:val="22"/>
              </w:rPr>
              <w:t>~26.8%</w:t>
            </w:r>
          </w:p>
        </w:tc>
        <w:tc>
          <w:tcPr>
            <w:tcW w:type="dxa" w:w="1728"/>
          </w:tcPr>
          <w:p>
            <w:r>
              <w:rPr>
                <w:rFonts w:ascii="Calibri" w:hAnsi="Calibri"/>
                <w:sz w:val="22"/>
              </w:rPr>
              <w:t>In line with guidance; FARO dilution already embedded</w:t>
            </w:r>
          </w:p>
        </w:tc>
      </w:tr>
      <w:tr>
        <w:tc>
          <w:tcPr>
            <w:tcW w:type="dxa" w:w="1728"/>
          </w:tcPr>
          <w:p>
            <w:r>
              <w:rPr>
                <w:rFonts w:ascii="Calibri" w:hAnsi="Calibri"/>
                <w:sz w:val="22"/>
              </w:rPr>
              <w:t>Free Cash Flow Conversion (FY)</w:t>
            </w:r>
          </w:p>
        </w:tc>
        <w:tc>
          <w:tcPr>
            <w:tcW w:type="dxa" w:w="1728"/>
          </w:tcPr>
          <w:p>
            <w:r>
              <w:rPr>
                <w:rFonts w:ascii="Calibri" w:hAnsi="Calibri"/>
                <w:sz w:val="22"/>
              </w:rPr>
              <w:t>110–115% of net income</w:t>
            </w:r>
          </w:p>
        </w:tc>
        <w:tc>
          <w:tcPr>
            <w:tcW w:type="dxa" w:w="1728"/>
          </w:tcPr>
          <w:p>
            <w:r>
              <w:rPr>
                <w:rFonts w:ascii="Calibri" w:hAnsi="Calibri"/>
                <w:sz w:val="22"/>
              </w:rPr>
              <w:t>—</w:t>
            </w:r>
          </w:p>
        </w:tc>
        <w:tc>
          <w:tcPr>
            <w:tcW w:type="dxa" w:w="1728"/>
          </w:tcPr>
          <w:p>
            <w:r>
              <w:rPr>
                <w:rFonts w:ascii="Calibri" w:hAnsi="Calibri"/>
                <w:sz w:val="22"/>
              </w:rPr>
              <w:t>~$1.91B</w:t>
            </w:r>
          </w:p>
        </w:tc>
        <w:tc>
          <w:tcPr>
            <w:tcW w:type="dxa" w:w="1728"/>
          </w:tcPr>
          <w:p>
            <w:r>
              <w:rPr>
                <w:rFonts w:ascii="Calibri" w:hAnsi="Calibri"/>
                <w:sz w:val="22"/>
              </w:rPr>
              <w:t>In line; Indicor financing costs could pressure post-close FCF</w:t>
            </w:r>
          </w:p>
        </w:tc>
      </w:tr>
      <w:tr>
        <w:tc>
          <w:tcPr>
            <w:tcW w:type="dxa" w:w="1728"/>
          </w:tcPr>
          <w:p>
            <w:r>
              <w:rPr>
                <w:rFonts w:ascii="Calibri" w:hAnsi="Calibri"/>
                <w:sz w:val="22"/>
              </w:rPr>
              <w:t>Aerospace &amp; Defense Growth (FY)</w:t>
            </w:r>
          </w:p>
        </w:tc>
        <w:tc>
          <w:tcPr>
            <w:tcW w:type="dxa" w:w="1728"/>
          </w:tcPr>
          <w:p>
            <w:r>
              <w:rPr>
                <w:rFonts w:ascii="Calibri" w:hAnsi="Calibri"/>
                <w:sz w:val="22"/>
              </w:rPr>
              <w:t>~10% (raised from high single digits)</w:t>
            </w:r>
          </w:p>
        </w:tc>
        <w:tc>
          <w:tcPr>
            <w:tcW w:type="dxa" w:w="1728"/>
          </w:tcPr>
          <w:p>
            <w:r>
              <w:rPr>
                <w:rFonts w:ascii="Calibri" w:hAnsi="Calibri"/>
                <w:sz w:val="22"/>
              </w:rPr>
              <w:t>—</w:t>
            </w:r>
          </w:p>
        </w:tc>
        <w:tc>
          <w:tcPr>
            <w:tcW w:type="dxa" w:w="1728"/>
          </w:tcPr>
          <w:p>
            <w:r>
              <w:rPr>
                <w:rFonts w:ascii="Calibri" w:hAnsi="Calibri"/>
                <w:sz w:val="22"/>
              </w:rPr>
              <w:t>N/A — not separately tracked in VA</w:t>
            </w:r>
          </w:p>
        </w:tc>
        <w:tc>
          <w:tcPr>
            <w:tcW w:type="dxa" w:w="1728"/>
          </w:tcPr>
          <w:p>
            <w:r>
              <w:rPr>
                <w:rFonts w:ascii="Calibri" w:hAnsi="Calibri"/>
                <w:sz w:val="22"/>
              </w:rPr>
              <w:t>↑ Raised at Q1 earnings; broad-based defense strength (UAVs, missile defense, naval)</w:t>
            </w:r>
          </w:p>
        </w:tc>
      </w:tr>
      <w:tr>
        <w:tc>
          <w:tcPr>
            <w:tcW w:type="dxa" w:w="1728"/>
          </w:tcPr>
          <w:p>
            <w:r>
              <w:rPr>
                <w:rFonts w:ascii="Calibri" w:hAnsi="Calibri"/>
                <w:sz w:val="22"/>
              </w:rPr>
              <w:t>Process Segment Organic Growth (FY)</w:t>
            </w:r>
          </w:p>
        </w:tc>
        <w:tc>
          <w:tcPr>
            <w:tcW w:type="dxa" w:w="1728"/>
          </w:tcPr>
          <w:p>
            <w:r>
              <w:rPr>
                <w:rFonts w:ascii="Calibri" w:hAnsi="Calibri"/>
                <w:sz w:val="22"/>
              </w:rPr>
              <w:t>Low-to-mid single digits (raised from low SD)</w:t>
            </w:r>
          </w:p>
        </w:tc>
        <w:tc>
          <w:tcPr>
            <w:tcW w:type="dxa" w:w="1728"/>
          </w:tcPr>
          <w:p>
            <w:r>
              <w:rPr>
                <w:rFonts w:ascii="Calibri" w:hAnsi="Calibri"/>
                <w:sz w:val="22"/>
              </w:rPr>
              <w:t>—</w:t>
            </w:r>
          </w:p>
        </w:tc>
        <w:tc>
          <w:tcPr>
            <w:tcW w:type="dxa" w:w="1728"/>
          </w:tcPr>
          <w:p>
            <w:r>
              <w:rPr>
                <w:rFonts w:ascii="Calibri" w:hAnsi="Calibri"/>
                <w:sz w:val="22"/>
              </w:rPr>
              <w:t>N/A — not separately tracked in VA</w:t>
            </w:r>
          </w:p>
        </w:tc>
        <w:tc>
          <w:tcPr>
            <w:tcW w:type="dxa" w:w="1728"/>
          </w:tcPr>
          <w:p>
            <w:r>
              <w:rPr>
                <w:rFonts w:ascii="Calibri" w:hAnsi="Calibri"/>
                <w:sz w:val="22"/>
              </w:rPr>
              <w:t>↑ Raised at Q1 earnings; inflection confirmed after negative H1 2025</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for Q2 2026 adj. EPS have been essentially flat since the Q1 print (consensus ~$1.76 vs. $1.76 at baseline), while FY 2026 EPS consensus of $7.25 sits </w:t>
      </w:r>
      <w:r>
        <w:rPr>
          <w:rFonts w:ascii="Calibri" w:hAnsi="Calibri"/>
          <w:b/>
          <w:color w:val="E5484D"/>
          <w:sz w:val="22"/>
        </w:rPr>
        <w:t>well below management’s $8.04 midpoint</w:t>
      </w:r>
      <w:r>
        <w:rPr>
          <w:rFonts w:ascii="Calibri" w:hAnsi="Calibri"/>
          <w:color w:val="525866"/>
          <w:sz w:val="22"/>
        </w:rPr>
        <w:t xml:space="preserve"> — the gap is almost entirely explained by sell-side uncertainty around Indicor dilution, suggesting the organic business is tracking ahead of consensus.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5,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$1.76</w:t>
            </w:r>
          </w:p>
        </w:tc>
        <w:tc>
          <w:tcPr>
            <w:tcW w:type="dxa" w:w="1080"/>
          </w:tcPr>
          <w:p>
            <w:r>
              <w:rPr>
                <w:rFonts w:ascii="Calibri" w:hAnsi="Calibri"/>
                <w:sz w:val="22"/>
              </w:rPr>
              <w:t>$1.76</w:t>
            </w:r>
          </w:p>
        </w:tc>
        <w:tc>
          <w:tcPr>
            <w:tcW w:type="dxa" w:w="1080"/>
          </w:tcPr>
          <w:p>
            <w:r>
              <w:rPr>
                <w:rFonts w:ascii="Calibri" w:hAnsi="Calibri"/>
                <w:sz w:val="22"/>
              </w:rPr>
              <w:t>0.0%</w:t>
            </w:r>
          </w:p>
        </w:tc>
        <w:tc>
          <w:tcPr>
            <w:tcW w:type="dxa" w:w="1080"/>
          </w:tcPr>
          <w:p>
            <w:r>
              <w:rPr>
                <w:rFonts w:ascii="Calibri" w:hAnsi="Calibri"/>
                <w:sz w:val="22"/>
              </w:rPr>
              <w:t>$1.96–$2.00</w:t>
            </w:r>
          </w:p>
        </w:tc>
        <w:tc>
          <w:tcPr>
            <w:tcW w:type="dxa" w:w="1080"/>
          </w:tcPr>
          <w:p>
            <w:r>
              <w:rPr>
                <w:rFonts w:ascii="Calibri" w:hAnsi="Calibri"/>
                <w:sz w:val="22"/>
              </w:rPr>
              <w:t>$1.96–$2.00 (unchanged)</w:t>
            </w:r>
          </w:p>
        </w:tc>
        <w:tc>
          <w:tcPr>
            <w:tcW w:type="dxa" w:w="1080"/>
          </w:tcPr>
          <w:p>
            <w:r>
              <w:rPr>
                <w:rFonts w:ascii="Calibri" w:hAnsi="Calibri"/>
                <w:sz w:val="22"/>
              </w:rPr>
              <w:t>Unchanged</w:t>
            </w:r>
          </w:p>
        </w:tc>
        <w:tc>
          <w:tcPr>
            <w:tcW w:type="dxa" w:w="1080"/>
          </w:tcPr>
          <w:p>
            <w:r>
              <w:rPr>
                <w:rFonts w:ascii="Calibri" w:hAnsi="Calibri"/>
                <w:b/>
                <w:sz w:val="22"/>
              </w:rPr>
              <w:t>−11.1% below midpoint</w:t>
            </w:r>
          </w:p>
        </w:tc>
      </w:tr>
      <w:tr>
        <w:tc>
          <w:tcPr>
            <w:tcW w:type="dxa" w:w="1080"/>
          </w:tcPr>
          <w:p>
            <w:r>
              <w:rPr>
                <w:rFonts w:ascii="Calibri" w:hAnsi="Calibri"/>
                <w:sz w:val="22"/>
              </w:rPr>
              <w:t>Net Sales — Q2 2026</w:t>
            </w:r>
          </w:p>
        </w:tc>
        <w:tc>
          <w:tcPr>
            <w:tcW w:type="dxa" w:w="1080"/>
          </w:tcPr>
          <w:p>
            <w:r>
              <w:rPr>
                <w:rFonts w:ascii="Calibri" w:hAnsi="Calibri"/>
                <w:sz w:val="22"/>
              </w:rPr>
              <w:t>$1,958M</w:t>
            </w:r>
          </w:p>
        </w:tc>
        <w:tc>
          <w:tcPr>
            <w:tcW w:type="dxa" w:w="1080"/>
          </w:tcPr>
          <w:p>
            <w:r>
              <w:rPr>
                <w:rFonts w:ascii="Calibri" w:hAnsi="Calibri"/>
                <w:sz w:val="22"/>
              </w:rPr>
              <w:t>$1,959M</w:t>
            </w:r>
          </w:p>
        </w:tc>
        <w:tc>
          <w:tcPr>
            <w:tcW w:type="dxa" w:w="1080"/>
          </w:tcPr>
          <w:p>
            <w:r>
              <w:rPr>
                <w:rFonts w:ascii="Calibri" w:hAnsi="Calibri"/>
                <w:sz w:val="22"/>
              </w:rPr>
              <w:t>+0.1%</w:t>
            </w:r>
          </w:p>
        </w:tc>
        <w:tc>
          <w:tcPr>
            <w:tcW w:type="dxa" w:w="1080"/>
          </w:tcPr>
          <w:p>
            <w:r>
              <w:rPr>
                <w:rFonts w:ascii="Calibri" w:hAnsi="Calibri"/>
                <w:sz w:val="22"/>
              </w:rPr>
              <w:t>Up high single digits %</w:t>
            </w:r>
          </w:p>
        </w:tc>
        <w:tc>
          <w:tcPr>
            <w:tcW w:type="dxa" w:w="1080"/>
          </w:tcPr>
          <w:p>
            <w:r>
              <w:rPr>
                <w:rFonts w:ascii="Calibri" w:hAnsi="Calibri"/>
                <w:sz w:val="22"/>
              </w:rPr>
              <w:t>Up high single digits % (unchanged)</w:t>
            </w:r>
          </w:p>
        </w:tc>
        <w:tc>
          <w:tcPr>
            <w:tcW w:type="dxa" w:w="1080"/>
          </w:tcPr>
          <w:p>
            <w:r>
              <w:rPr>
                <w:rFonts w:ascii="Calibri" w:hAnsi="Calibri"/>
                <w:sz w:val="22"/>
              </w:rPr>
              <w:t>Unchanged</w:t>
            </w:r>
          </w:p>
        </w:tc>
        <w:tc>
          <w:tcPr>
            <w:tcW w:type="dxa" w:w="1080"/>
          </w:tcPr>
          <w:p>
            <w:r>
              <w:rPr>
                <w:rFonts w:ascii="Calibri" w:hAnsi="Calibri"/>
                <w:sz w:val="22"/>
              </w:rPr>
              <w:t>In line</w:t>
            </w:r>
          </w:p>
        </w:tc>
      </w:tr>
      <w:tr>
        <w:tc>
          <w:tcPr>
            <w:tcW w:type="dxa" w:w="1080"/>
          </w:tcPr>
          <w:p>
            <w:r>
              <w:rPr>
                <w:rFonts w:ascii="Calibri" w:hAnsi="Calibri"/>
                <w:sz w:val="22"/>
              </w:rPr>
              <w:t>Organic Growth — Q2 2026</w:t>
            </w:r>
          </w:p>
        </w:tc>
        <w:tc>
          <w:tcPr>
            <w:tcW w:type="dxa" w:w="1080"/>
          </w:tcPr>
          <w:p>
            <w:r>
              <w:rPr>
                <w:rFonts w:ascii="Calibri" w:hAnsi="Calibri"/>
                <w:sz w:val="22"/>
              </w:rPr>
              <w:t>~5.0%</w:t>
            </w:r>
          </w:p>
        </w:tc>
        <w:tc>
          <w:tcPr>
            <w:tcW w:type="dxa" w:w="1080"/>
          </w:tcPr>
          <w:p>
            <w:r>
              <w:rPr>
                <w:rFonts w:ascii="Calibri" w:hAnsi="Calibri"/>
                <w:sz w:val="22"/>
              </w:rPr>
              <w:t>~5.0%</w:t>
            </w:r>
          </w:p>
        </w:tc>
        <w:tc>
          <w:tcPr>
            <w:tcW w:type="dxa" w:w="1080"/>
          </w:tcPr>
          <w:p>
            <w:r>
              <w:rPr>
                <w:rFonts w:ascii="Calibri" w:hAnsi="Calibri"/>
                <w:sz w:val="22"/>
              </w:rPr>
              <w:t>0.0%</w:t>
            </w:r>
          </w:p>
        </w:tc>
        <w:tc>
          <w:tcPr>
            <w:tcW w:type="dxa" w:w="1080"/>
          </w:tcPr>
          <w:p>
            <w:r>
              <w:rPr>
                <w:rFonts w:ascii="Calibri" w:hAnsi="Calibri"/>
                <w:sz w:val="22"/>
              </w:rPr>
              <w:t>Mid-single digits FY</w:t>
            </w:r>
          </w:p>
        </w:tc>
        <w:tc>
          <w:tcPr>
            <w:tcW w:type="dxa" w:w="1080"/>
          </w:tcPr>
          <w:p>
            <w:r>
              <w:rPr>
                <w:rFonts w:ascii="Calibri" w:hAnsi="Calibri"/>
                <w:sz w:val="22"/>
              </w:rPr>
              <w:t>Mid-single digits FY (unchanged)</w:t>
            </w:r>
          </w:p>
        </w:tc>
        <w:tc>
          <w:tcPr>
            <w:tcW w:type="dxa" w:w="1080"/>
          </w:tcPr>
          <w:p>
            <w:r>
              <w:rPr>
                <w:rFonts w:ascii="Calibri" w:hAnsi="Calibri"/>
                <w:sz w:val="22"/>
              </w:rPr>
              <w:t>Unchanged</w:t>
            </w:r>
          </w:p>
        </w:tc>
        <w:tc>
          <w:tcPr>
            <w:tcW w:type="dxa" w:w="1080"/>
          </w:tcPr>
          <w:p>
            <w:r>
              <w:rPr>
                <w:rFonts w:ascii="Calibri" w:hAnsi="Calibri"/>
                <w:sz w:val="22"/>
              </w:rPr>
              <w:t>In line</w:t>
            </w:r>
          </w:p>
        </w:tc>
      </w:tr>
      <w:tr>
        <w:tc>
          <w:tcPr>
            <w:tcW w:type="dxa" w:w="1080"/>
          </w:tcPr>
          <w:p>
            <w:r>
              <w:rPr>
                <w:rFonts w:ascii="Calibri" w:hAnsi="Calibri"/>
                <w:sz w:val="22"/>
              </w:rPr>
              <w:t>Adj. EPS — FY 2026</w:t>
            </w:r>
          </w:p>
        </w:tc>
        <w:tc>
          <w:tcPr>
            <w:tcW w:type="dxa" w:w="1080"/>
          </w:tcPr>
          <w:p>
            <w:r>
              <w:rPr>
                <w:rFonts w:ascii="Calibri" w:hAnsi="Calibri"/>
                <w:sz w:val="22"/>
              </w:rPr>
              <w:t>$7.25</w:t>
            </w:r>
          </w:p>
        </w:tc>
        <w:tc>
          <w:tcPr>
            <w:tcW w:type="dxa" w:w="1080"/>
          </w:tcPr>
          <w:p>
            <w:r>
              <w:rPr>
                <w:rFonts w:ascii="Calibri" w:hAnsi="Calibri"/>
                <w:sz w:val="22"/>
              </w:rPr>
              <w:t>$7.25</w:t>
            </w:r>
          </w:p>
        </w:tc>
        <w:tc>
          <w:tcPr>
            <w:tcW w:type="dxa" w:w="1080"/>
          </w:tcPr>
          <w:p>
            <w:r>
              <w:rPr>
                <w:rFonts w:ascii="Calibri" w:hAnsi="Calibri"/>
                <w:sz w:val="22"/>
              </w:rPr>
              <w:t>0.0%</w:t>
            </w:r>
          </w:p>
        </w:tc>
        <w:tc>
          <w:tcPr>
            <w:tcW w:type="dxa" w:w="1080"/>
          </w:tcPr>
          <w:p>
            <w:r>
              <w:rPr>
                <w:rFonts w:ascii="Calibri" w:hAnsi="Calibri"/>
                <w:sz w:val="22"/>
              </w:rPr>
              <w:t>$7.87–$8.07 (pre-Q1 raise)</w:t>
            </w:r>
          </w:p>
        </w:tc>
        <w:tc>
          <w:tcPr>
            <w:tcW w:type="dxa" w:w="1080"/>
          </w:tcPr>
          <w:p>
            <w:r>
              <w:rPr>
                <w:rFonts w:ascii="Calibri" w:hAnsi="Calibri"/>
                <w:sz w:val="22"/>
              </w:rPr>
              <w:t>$7.94–$8.14 (raised at Q1)</w:t>
            </w:r>
          </w:p>
        </w:tc>
        <w:tc>
          <w:tcPr>
            <w:tcW w:type="dxa" w:w="1080"/>
          </w:tcPr>
          <w:p>
            <w:r>
              <w:rPr>
                <w:rFonts w:ascii="Calibri" w:hAnsi="Calibri"/>
                <w:sz w:val="22"/>
              </w:rPr>
              <w:t>↑ Raised ~$0.07 at midpoint</w:t>
            </w:r>
          </w:p>
        </w:tc>
        <w:tc>
          <w:tcPr>
            <w:tcW w:type="dxa" w:w="1080"/>
          </w:tcPr>
          <w:p>
            <w:r>
              <w:rPr>
                <w:rFonts w:ascii="Calibri" w:hAnsi="Calibri"/>
                <w:b/>
                <w:sz w:val="22"/>
              </w:rPr>
              <w:t>−10.0% below midpoint</w:t>
            </w:r>
          </w:p>
        </w:tc>
      </w:tr>
      <w:tr>
        <w:tc>
          <w:tcPr>
            <w:tcW w:type="dxa" w:w="1080"/>
          </w:tcPr>
          <w:p>
            <w:r>
              <w:rPr>
                <w:rFonts w:ascii="Calibri" w:hAnsi="Calibri"/>
                <w:sz w:val="22"/>
              </w:rPr>
              <w:t>Net Sales — FY 2026</w:t>
            </w:r>
          </w:p>
        </w:tc>
        <w:tc>
          <w:tcPr>
            <w:tcW w:type="dxa" w:w="1080"/>
          </w:tcPr>
          <w:p>
            <w:r>
              <w:rPr>
                <w:rFonts w:ascii="Calibri" w:hAnsi="Calibri"/>
                <w:sz w:val="22"/>
              </w:rPr>
              <w:t>$8,024M</w:t>
            </w:r>
          </w:p>
        </w:tc>
        <w:tc>
          <w:tcPr>
            <w:tcW w:type="dxa" w:w="1080"/>
          </w:tcPr>
          <w:p>
            <w:r>
              <w:rPr>
                <w:rFonts w:ascii="Calibri" w:hAnsi="Calibri"/>
                <w:sz w:val="22"/>
              </w:rPr>
              <w:t>$8,026M</w:t>
            </w:r>
          </w:p>
        </w:tc>
        <w:tc>
          <w:tcPr>
            <w:tcW w:type="dxa" w:w="1080"/>
          </w:tcPr>
          <w:p>
            <w:r>
              <w:rPr>
                <w:rFonts w:ascii="Calibri" w:hAnsi="Calibri"/>
                <w:sz w:val="22"/>
              </w:rPr>
              <w:t>+0.0%</w:t>
            </w:r>
          </w:p>
        </w:tc>
        <w:tc>
          <w:tcPr>
            <w:tcW w:type="dxa" w:w="1080"/>
          </w:tcPr>
          <w:p>
            <w:r>
              <w:rPr>
                <w:rFonts w:ascii="Calibri" w:hAnsi="Calibri"/>
                <w:sz w:val="22"/>
              </w:rPr>
              <w:t>Up high single digits %</w:t>
            </w:r>
          </w:p>
        </w:tc>
        <w:tc>
          <w:tcPr>
            <w:tcW w:type="dxa" w:w="1080"/>
          </w:tcPr>
          <w:p>
            <w:r>
              <w:rPr>
                <w:rFonts w:ascii="Calibri" w:hAnsi="Calibri"/>
                <w:sz w:val="22"/>
              </w:rPr>
              <w:t>Up high single digits % (unchanged)</w:t>
            </w:r>
          </w:p>
        </w:tc>
        <w:tc>
          <w:tcPr>
            <w:tcW w:type="dxa" w:w="1080"/>
          </w:tcPr>
          <w:p>
            <w:r>
              <w:rPr>
                <w:rFonts w:ascii="Calibri" w:hAnsi="Calibri"/>
                <w:sz w:val="22"/>
              </w:rPr>
              <w:t>Unchanged</w:t>
            </w:r>
          </w:p>
        </w:tc>
        <w:tc>
          <w:tcPr>
            <w:tcW w:type="dxa" w:w="1080"/>
          </w:tcPr>
          <w:p>
            <w:r>
              <w:rPr>
                <w:rFonts w:ascii="Calibri" w:hAnsi="Calibri"/>
                <w:sz w:val="22"/>
              </w:rPr>
              <w:t>In line</w:t>
            </w:r>
          </w:p>
        </w:tc>
      </w:tr>
      <w:tr>
        <w:tc>
          <w:tcPr>
            <w:tcW w:type="dxa" w:w="1080"/>
          </w:tcPr>
          <w:p>
            <w:r>
              <w:rPr>
                <w:rFonts w:ascii="Calibri" w:hAnsi="Calibri"/>
                <w:sz w:val="22"/>
              </w:rPr>
              <w:t>Adj. EPS — FY 2027</w:t>
            </w:r>
          </w:p>
        </w:tc>
        <w:tc>
          <w:tcPr>
            <w:tcW w:type="dxa" w:w="1080"/>
          </w:tcPr>
          <w:p>
            <w:r>
              <w:rPr>
                <w:rFonts w:ascii="Calibri" w:hAnsi="Calibri"/>
                <w:sz w:val="22"/>
              </w:rPr>
              <w:t>$7.92</w:t>
            </w:r>
          </w:p>
        </w:tc>
        <w:tc>
          <w:tcPr>
            <w:tcW w:type="dxa" w:w="1080"/>
          </w:tcPr>
          <w:p>
            <w:r>
              <w:rPr>
                <w:rFonts w:ascii="Calibri" w:hAnsi="Calibri"/>
                <w:sz w:val="22"/>
              </w:rPr>
              <w:t>$7.94</w:t>
            </w:r>
          </w:p>
        </w:tc>
        <w:tc>
          <w:tcPr>
            <w:tcW w:type="dxa" w:w="1080"/>
          </w:tcPr>
          <w:p>
            <w:r>
              <w:rPr>
                <w:rFonts w:ascii="Calibri" w:hAnsi="Calibri"/>
                <w:sz w:val="22"/>
              </w:rPr>
              <w:t>+0.3%</w:t>
            </w:r>
          </w:p>
        </w:tc>
        <w:tc>
          <w:tcPr>
            <w:tcW w:type="dxa" w:w="1080"/>
          </w:tcPr>
          <w:p>
            <w:r>
              <w:rPr>
                <w:rFonts w:ascii="Calibri" w:hAnsi="Calibri"/>
                <w:sz w:val="22"/>
              </w:rPr>
              <w:t>No formal FY27 guidance</w:t>
            </w:r>
          </w:p>
        </w:tc>
        <w:tc>
          <w:tcPr>
            <w:tcW w:type="dxa" w:w="1080"/>
          </w:tcPr>
          <w:p>
            <w:r>
              <w:rPr>
                <w:rFonts w:ascii="Calibri" w:hAnsi="Calibri"/>
                <w:sz w:val="22"/>
              </w:rPr>
              <w:t>No formal FY27 guidance</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color w:val="525866"/>
          <w:sz w:val="22"/>
        </w:rPr>
        <w:t>The large gap between FY 2026 consensus EPS ($7.25) and management guidance midpoint ($8.04) is almost entirely attributable to sell-side uncertainty around Indicor acquisition dilution — the deal is expected to close in H2 2026 and will add significant interest expense from the $4B+ term loan. The organic business is tracking in line with or ahead of guidance. Q2 2026 estimates have been stable since the Q1 print, suggesting the street is waiting for the Q2 print to reset FY numbers post-Indicor clarity.</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AME has </w:t>
      </w:r>
      <w:r>
        <w:rPr>
          <w:rFonts w:ascii="Calibri" w:hAnsi="Calibri"/>
          <w:b/>
          <w:color w:val="E5484D"/>
          <w:sz w:val="22"/>
        </w:rPr>
        <w:t>underperformed both XLI (+3.0%) and the S&amp;P 500 (+4.0%)</w:t>
      </w:r>
      <w:r>
        <w:rPr>
          <w:rFonts w:ascii="Calibri" w:hAnsi="Calibri"/>
          <w:color w:val="525866"/>
          <w:sz w:val="22"/>
        </w:rPr>
        <w:t xml:space="preserve"> since the Q1 earnings beat on April 30, gaining only +2.7% — the relative underperformance is almost entirely explained by Indicor acquisition overhang (leverage, dilution uncertainty) rather than any deterioration in the underlying business.</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AME vs. XLI (Industrials ETF) vs. S&amp;P 500 — Indexed to 100 at Q1 2026 Earnings (Apr 30, 2026). Source: Stock Price Data.</w:t>
      </w:r>
    </w:p>
    <w:p>
      <w:r>
        <w:rPr>
          <w:rFonts w:ascii="Calibri" w:hAnsi="Calibri"/>
          <w:b/>
          <w:color w:val="525866"/>
          <w:sz w:val="22"/>
        </w:rPr>
        <w:t>Performance Summary (Apr 30 – Jul 31, 2026):</w:t>
      </w:r>
    </w:p>
    <w:p>
      <w:pPr>
        <w:pStyle w:val="ListBullet"/>
        <w:ind w:left="360" w:hanging="360"/>
      </w:pPr>
      <w:r>
        <w:rPr>
          <w:rFonts w:ascii="Calibri" w:hAnsi="Calibri"/>
          <w:b/>
          <w:color w:val="525866"/>
          <w:sz w:val="22"/>
        </w:rPr>
        <w:t xml:space="preserve">AME: </w:t>
      </w:r>
      <w:r>
        <w:rPr>
          <w:rFonts w:ascii="Calibri" w:hAnsi="Calibri"/>
          <w:color w:val="525866"/>
          <w:sz w:val="22"/>
        </w:rPr>
        <w:t>+2.7% (from $235.50 to $241.75)</w:t>
      </w:r>
    </w:p>
    <w:p>
      <w:pPr>
        <w:pStyle w:val="ListBullet"/>
        <w:ind w:left="360" w:hanging="360"/>
      </w:pPr>
      <w:r>
        <w:rPr>
          <w:rFonts w:ascii="Calibri" w:hAnsi="Calibri"/>
          <w:b/>
          <w:color w:val="525866"/>
          <w:sz w:val="22"/>
        </w:rPr>
        <w:t xml:space="preserve">XLI (Industrials ETF): </w:t>
      </w:r>
      <w:r>
        <w:rPr>
          <w:rFonts w:ascii="Calibri" w:hAnsi="Calibri"/>
          <w:color w:val="525866"/>
          <w:sz w:val="22"/>
        </w:rPr>
        <w:t>+3.0% (from $174.58 to $179.87)</w:t>
      </w:r>
    </w:p>
    <w:p>
      <w:pPr>
        <w:pStyle w:val="ListBullet"/>
        <w:ind w:left="360" w:hanging="360"/>
      </w:pPr>
      <w:r>
        <w:rPr>
          <w:rFonts w:ascii="Calibri" w:hAnsi="Calibri"/>
          <w:b/>
          <w:color w:val="525866"/>
          <w:sz w:val="22"/>
        </w:rPr>
        <w:t xml:space="preserve">S&amp;P 500 (SPY): </w:t>
      </w:r>
      <w:r>
        <w:rPr>
          <w:rFonts w:ascii="Calibri" w:hAnsi="Calibri"/>
          <w:color w:val="525866"/>
          <w:sz w:val="22"/>
        </w:rPr>
        <w:t>+4.0% (from $718.66 to $747.07)</w:t>
      </w:r>
    </w:p>
    <w:p>
      <w:r>
        <w:rPr>
          <w:rFonts w:ascii="Calibri" w:hAnsi="Calibri"/>
          <w:b/>
          <w:color w:val="525866"/>
          <w:sz w:val="22"/>
        </w:rPr>
        <w:t xml:space="preserve">Key observations: </w:t>
      </w:r>
      <w:r>
        <w:rPr>
          <w:rFonts w:ascii="Calibri" w:hAnsi="Calibri"/>
          <w:color w:val="525866"/>
          <w:sz w:val="22"/>
        </w:rPr>
        <w:t>AME surged ~2.5% on May 6 when the Indicor acquisition was announced, reflecting initial enthusiasm for the transformative deal. However, the stock subsequently gave back gains and traded sideways through June as investors digested the $5.0B price tag and $7.5B in new credit facilities (announced June 12). The stock has recovered modestly in July, likely on improving industrial sentiment from peer earnings (DOV, ETN, IEX all beat and raised). The sector ETF (XLI) used is appropriate for AME’s specialty industrial machinery sub-sector.</w:t>
      </w:r>
    </w:p>
    <w:p>
      <w:r>
        <w:rPr>
          <w:rFonts w:ascii="Calibri" w:hAnsi="Calibri"/>
          <w:i/>
          <w:color w:val="525866"/>
          <w:sz w:val="22"/>
        </w:rPr>
        <w:t>Source: Stock Price Data (Yahoo Finance).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dominant development since Q1 earnings is the </w:t>
      </w:r>
      <w:r>
        <w:rPr>
          <w:rFonts w:ascii="Calibri" w:hAnsi="Calibri"/>
          <w:b/>
          <w:color w:val="525866"/>
          <w:sz w:val="22"/>
        </w:rPr>
        <w:t>$5.0B Indicor acquisition</w:t>
      </w:r>
      <w:r>
        <w:rPr>
          <w:rFonts w:ascii="Calibri" w:hAnsi="Calibri"/>
          <w:color w:val="525866"/>
          <w:sz w:val="22"/>
        </w:rPr>
        <w:t xml:space="preserve"> — the largest deal in AMETEK’s history — which will transform the company’s balance sheet and EPS trajectory; Q2 earnings will be the first opportunity for management to provide pro-forma guidance and integration details.</w:t>
      </w:r>
    </w:p>
    <w:p>
      <w:pPr>
        <w:pStyle w:val="ListBullet"/>
        <w:ind w:left="360" w:hanging="360"/>
      </w:pPr>
      <w:r>
        <w:rPr>
          <w:rFonts w:ascii="Calibri" w:hAnsi="Calibri"/>
          <w:b/>
          <w:color w:val="525866"/>
          <w:sz w:val="22"/>
        </w:rPr>
        <w:t xml:space="preserve">May 6, 2026 — AMETEK Announces $5.0B Indicor Acquisition (Transformative): </w:t>
      </w:r>
      <w:r>
        <w:rPr>
          <w:rFonts w:ascii="Calibri" w:hAnsi="Calibri"/>
          <w:color w:val="525866"/>
          <w:sz w:val="22"/>
        </w:rPr>
        <w:t xml:space="preserve">AMETEK signed a definitive agreement to acquire Indicor Instrumentation from Indicor, LLC for ~$5.0B in cash — the largest acquisition in company history. Indicor generates ~$1.1B in annual sales with profitability levels consistent with AMETEK. Businesses will be integrated into EIG and EMG. Deal expected to close H2 2026, subject to regulatory approvals. </w:t>
      </w:r>
      <w:r>
        <w:rPr>
          <w:rFonts w:ascii="Calibri" w:hAnsi="Calibri"/>
          <w:i/>
          <w:color w:val="525866"/>
          <w:sz w:val="22"/>
        </w:rPr>
        <w:t>Implication: Adds ~14% to revenue but will significantly increase leverage (from ~0.9x to well above 3x gross debt/EBITDA); Q2 call will be critical for pro-forma EPS guidance and deleveraging timeline.</w:t>
      </w:r>
    </w:p>
    <w:p>
      <w:pPr>
        <w:pStyle w:val="ListBullet"/>
        <w:ind w:left="360" w:hanging="360"/>
      </w:pPr>
      <w:r>
        <w:rPr>
          <w:rFonts w:ascii="Calibri" w:hAnsi="Calibri"/>
          <w:b/>
          <w:color w:val="525866"/>
          <w:sz w:val="22"/>
        </w:rPr>
        <w:t xml:space="preserve">May 8, 2026 — Nick L. Stanage Appointed Independent Director: </w:t>
      </w:r>
      <w:r>
        <w:rPr>
          <w:rFonts w:ascii="Calibri" w:hAnsi="Calibri"/>
          <w:color w:val="525866"/>
          <w:sz w:val="22"/>
        </w:rPr>
        <w:t xml:space="preserve">AMETEK appointed Nick Stanage (former Hexcel CEO) to its Board of Directors. </w:t>
      </w:r>
      <w:r>
        <w:rPr>
          <w:rFonts w:ascii="Calibri" w:hAnsi="Calibri"/>
          <w:i/>
          <w:color w:val="525866"/>
          <w:sz w:val="22"/>
        </w:rPr>
        <w:t>Implication: Adds aerospace/composites expertise; constructive for governance ahead of a major integration.</w:t>
      </w:r>
    </w:p>
    <w:p>
      <w:pPr>
        <w:pStyle w:val="ListBullet"/>
        <w:ind w:left="360" w:hanging="360"/>
      </w:pPr>
      <w:r>
        <w:rPr>
          <w:rFonts w:ascii="Calibri" w:hAnsi="Calibri"/>
          <w:b/>
          <w:color w:val="525866"/>
          <w:sz w:val="22"/>
        </w:rPr>
        <w:t xml:space="preserve">June 12, 2026 — AMETEK Secures $7.5B in New Credit Facilities: </w:t>
      </w:r>
      <w:r>
        <w:rPr>
          <w:rFonts w:ascii="Calibri" w:hAnsi="Calibri"/>
          <w:color w:val="525866"/>
          <w:sz w:val="22"/>
        </w:rPr>
        <w:t xml:space="preserve">AMETEK entered into an Amended and Restated Revolving Credit Agreement ($3.5B, up from $2.3B, maturing 2031) and a new $4.0B Term Loan Credit Agreement (three tranches: $1.625B 3-yr, $1.625B 4-yr, $750M 5-yr) to fund the Indicor acquisition. Bridge financing commitments of $5.0B were terminated. </w:t>
      </w:r>
      <w:r>
        <w:rPr>
          <w:rFonts w:ascii="Calibri" w:hAnsi="Calibri"/>
          <w:i/>
          <w:color w:val="525866"/>
          <w:sz w:val="22"/>
        </w:rPr>
        <w:t>Implication: Financing structure is now in place; interest expense will be a significant headwind to reported EPS post-close — the market will want to see management’s deleveraging roadmap.</w:t>
      </w:r>
    </w:p>
    <w:p>
      <w:pPr>
        <w:pStyle w:val="ListBullet"/>
        <w:ind w:left="360" w:hanging="360"/>
      </w:pPr>
      <w:r>
        <w:rPr>
          <w:rFonts w:ascii="Calibri" w:hAnsi="Calibri"/>
          <w:b/>
          <w:color w:val="525866"/>
          <w:sz w:val="22"/>
        </w:rPr>
        <w:t xml:space="preserve">April 30, 2026 — Q1 2026 Beat &amp; Guidance Raise (Last Earnings): </w:t>
      </w:r>
      <w:r>
        <w:rPr>
          <w:rFonts w:ascii="Calibri" w:hAnsi="Calibri"/>
          <w:color w:val="525866"/>
          <w:sz w:val="22"/>
        </w:rPr>
        <w:t xml:space="preserve">AMETEK reported record Q1 results: adj. EPS of $1.74 (above $1.85–$1.90 guidance range and ~$1.91 consensus), record orders of $2.2B (+23% YoY), record backlog of $3.87B, and core margins up 160 bps. Full-year EPS guidance raised to $7.94–$8.14. Simultaneously announced First Aviation Services acquisition (~$80M annual sales, defense MRO). </w:t>
      </w:r>
      <w:r>
        <w:rPr>
          <w:rFonts w:ascii="Calibri" w:hAnsi="Calibri"/>
          <w:i/>
          <w:color w:val="525866"/>
          <w:sz w:val="22"/>
        </w:rPr>
        <w:t>Implication: Sets a high-quality baseline; Q2 must sustain order momentum and margin trajectory to validate the raised guide.</w:t>
      </w:r>
    </w:p>
    <w:p>
      <w:pPr>
        <w:pStyle w:val="ListBullet"/>
        <w:ind w:left="360" w:hanging="360"/>
      </w:pPr>
      <w:r>
        <w:rPr>
          <w:rFonts w:ascii="Calibri" w:hAnsi="Calibri"/>
          <w:b/>
          <w:color w:val="525866"/>
          <w:sz w:val="22"/>
        </w:rPr>
        <w:t xml:space="preserve">February 12, 2026 — 10% Dividend Increase: </w:t>
      </w:r>
      <w:r>
        <w:rPr>
          <w:rFonts w:ascii="Calibri" w:hAnsi="Calibri"/>
          <w:color w:val="525866"/>
          <w:sz w:val="22"/>
        </w:rPr>
        <w:t xml:space="preserve">AMETEK raised its quarterly cash dividend 10% to $0.34/share — the seventh consecutive year of 10%+ annual dividend increases. </w:t>
      </w:r>
      <w:r>
        <w:rPr>
          <w:rFonts w:ascii="Calibri" w:hAnsi="Calibri"/>
          <w:i/>
          <w:color w:val="525866"/>
          <w:sz w:val="22"/>
        </w:rPr>
        <w:t>Implication: Signals management confidence in FCF durability even ahead of the Indicor leverage increase.</w:t>
      </w:r>
    </w:p>
    <w:p>
      <w:pPr>
        <w:pStyle w:val="ListBullet"/>
        <w:ind w:left="360" w:hanging="360"/>
      </w:pPr>
      <w:r>
        <w:rPr>
          <w:rFonts w:ascii="Calibri" w:hAnsi="Calibri"/>
          <w:b/>
          <w:color w:val="525866"/>
          <w:sz w:val="22"/>
        </w:rPr>
        <w:t xml:space="preserve">Ongoing — Peer Earnings Signal Broad Industrial Demand Recovery: </w:t>
      </w:r>
      <w:r>
        <w:rPr>
          <w:rFonts w:ascii="Calibri" w:hAnsi="Calibri"/>
          <w:color w:val="525866"/>
          <w:sz w:val="22"/>
        </w:rPr>
        <w:t xml:space="preserve">DOV (Jul 23), ETN (Jul 31), IEX (Jul 29), and ITW (Jul 28) all reported Q2 2026 beats and raised guidance, citing broad-based order strength in A&amp;D, data centers, power infrastructure, and semiconductor. </w:t>
      </w:r>
      <w:r>
        <w:rPr>
          <w:rFonts w:ascii="Calibri" w:hAnsi="Calibri"/>
          <w:i/>
          <w:color w:val="525866"/>
          <w:sz w:val="22"/>
        </w:rPr>
        <w:t>Implication: Positive read-through for AME’s end markets; reduces downside risk from macro uncertainty.</w:t>
      </w:r>
    </w:p>
    <w:p>
      <w:pPr>
        <w:pStyle w:val="ListBullet"/>
        <w:ind w:left="360" w:hanging="360"/>
      </w:pPr>
      <w:r>
        <w:rPr>
          <w:rFonts w:ascii="Calibri" w:hAnsi="Calibri"/>
          <w:b/>
          <w:color w:val="525866"/>
          <w:sz w:val="22"/>
        </w:rPr>
        <w:t xml:space="preserve">Ongoing — Middle East Conflict Impact (Watch Item): </w:t>
      </w:r>
      <w:r>
        <w:rPr>
          <w:rFonts w:ascii="Calibri" w:hAnsi="Calibri"/>
          <w:color w:val="525866"/>
          <w:sz w:val="22"/>
        </w:rPr>
        <w:t xml:space="preserve">AME has ~2% of sales in the Middle East (primarily EIG process/energy). Management noted ~$15M of discrete orders that did not ship in Q1 due to safety disruptions, with no cancellations. EMR (Emerson) reported a 1-point headwind to Q2 underlying sales from the conflict. </w:t>
      </w:r>
      <w:r>
        <w:rPr>
          <w:rFonts w:ascii="Calibri" w:hAnsi="Calibri"/>
          <w:i/>
          <w:color w:val="525866"/>
          <w:sz w:val="22"/>
        </w:rPr>
        <w:t>Implication: Modest direct impact for AME; watch for any incremental commentary on Middle East recovery orders in Q2.</w:t>
      </w:r>
    </w:p>
    <w:p>
      <w:r>
        <w:br w:type="page"/>
      </w:r>
    </w:p>
    <w:p>
      <w:pPr>
        <w:pStyle w:val="Heading2"/>
      </w:pPr>
      <w:r>
        <w:rPr>
          <w:rFonts w:ascii="Calibri" w:hAnsi="Calibri"/>
          <w:b/>
          <w:color w:val="3B4259"/>
          <w:sz w:val="28"/>
        </w:rPr>
        <w:t>7. Peer Commentaries — Q2 2026 Read-Throughs</w:t>
      </w:r>
    </w:p>
    <w:p>
      <w:r>
        <w:rPr>
          <w:rFonts w:ascii="Calibri" w:hAnsi="Calibri"/>
          <w:b/>
          <w:color w:val="525866"/>
          <w:sz w:val="22"/>
        </w:rPr>
        <w:t xml:space="preserve">Key Takeaway: </w:t>
      </w:r>
      <w:r>
        <w:rPr>
          <w:rFonts w:ascii="Calibri" w:hAnsi="Calibri"/>
          <w:color w:val="525866"/>
          <w:sz w:val="22"/>
        </w:rPr>
        <w:t xml:space="preserve">Peers reporting Q2 2026 results (DOV, ETN, IEX, ITW, EMR) collectively paint a </w:t>
      </w:r>
      <w:r>
        <w:rPr>
          <w:rFonts w:ascii="Calibri" w:hAnsi="Calibri"/>
          <w:b/>
          <w:color w:val="30A46C"/>
          <w:sz w:val="22"/>
        </w:rPr>
        <w:t>strongly positive read-through for AME</w:t>
      </w:r>
      <w:r>
        <w:rPr>
          <w:rFonts w:ascii="Calibri" w:hAnsi="Calibri"/>
          <w:color w:val="525866"/>
          <w:sz w:val="22"/>
        </w:rPr>
        <w:t xml:space="preserve"> — broad-based order acceleration, A&amp;D strength, data center/power infrastructure demand, and margin expansion are all themes that directly benefit AME’s EIG and EMG segments. The only cautionary note is EMR’s Middle East disruption, which has minimal direct AME exposure.</w:t>
      </w:r>
    </w:p>
    <w:p>
      <w:r>
        <w:rPr>
          <w:rFonts w:ascii="Calibri" w:hAnsi="Calibri"/>
          <w:i/>
          <w:color w:val="525866"/>
          <w:sz w:val="22"/>
        </w:rPr>
        <w:t>Note: Only commentary from Q2 2026 earnings calls (current reporting quarter for AME) and post-Q1 2026 earnings calls is included below. RRX Q1 2026 commentary (reported May 7, 2026) is included as it covers the current demand environment relevant to AME’s Q2 2026 setup.</w:t>
      </w:r>
    </w:p>
    <w:p>
      <w:pPr>
        <w:pStyle w:val="Heading3"/>
      </w:pPr>
      <w:r>
        <w:rPr>
          <w:rFonts w:ascii="Calibri" w:hAnsi="Calibri"/>
          <w:b/>
          <w:color w:val="3B4259"/>
          <w:sz w:val="24"/>
        </w:rPr>
        <w:t>Dover Corporation (DOV) — Q2 2026 Earnings (July 23, 2026)</w:t>
      </w:r>
    </w:p>
    <w:p>
      <w:r>
        <w:rPr>
          <w:rFonts w:ascii="Calibri" w:hAnsi="Calibri"/>
          <w:b/>
          <w:color w:val="525866"/>
          <w:sz w:val="22"/>
        </w:rPr>
        <w:t xml:space="preserve">Relevance to AME: </w:t>
      </w:r>
      <w:r>
        <w:rPr>
          <w:rFonts w:ascii="Calibri" w:hAnsi="Calibri"/>
          <w:color w:val="525866"/>
          <w:sz w:val="22"/>
        </w:rPr>
        <w:t>DOV’s end markets (A&amp;D components, biopharma, data center liquid cooling, power infrastructure, semiconductor) overlap significantly with AME’s EIG and EMG segments.</w:t>
      </w:r>
    </w:p>
    <w:p>
      <w:pPr>
        <w:pStyle w:val="ListBullet"/>
        <w:ind w:left="360" w:hanging="360"/>
      </w:pPr>
      <w:r>
        <w:rPr>
          <w:rFonts w:ascii="Calibri" w:hAnsi="Calibri"/>
          <w:b/>
          <w:color w:val="525866"/>
          <w:sz w:val="22"/>
        </w:rPr>
        <w:t xml:space="preserve">Orders surged 16% YoY with book-to-bill of 1.06; trailing 12-month bookings up 15% — </w:t>
      </w:r>
      <w:r>
        <w:rPr>
          <w:rFonts w:ascii="Calibri" w:hAnsi="Calibri"/>
          <w:color w:val="525866"/>
          <w:sz w:val="22"/>
        </w:rPr>
        <w:t>"The breadth of our order growth is important and points to continued top-line strength in the second half." Directly validates AME’s record Q1 order momentum and supports Q2 order expectations.</w:t>
      </w:r>
    </w:p>
    <w:p>
      <w:pPr>
        <w:pStyle w:val="ListBullet"/>
        <w:ind w:left="360" w:hanging="360"/>
      </w:pPr>
      <w:r>
        <w:rPr>
          <w:rFonts w:ascii="Calibri" w:hAnsi="Calibri"/>
          <w:b/>
          <w:color w:val="525866"/>
          <w:sz w:val="22"/>
        </w:rPr>
        <w:t xml:space="preserve">A&amp;D components, fluid dispensing, and industrial winches drove Engineered Products +2% organic; </w:t>
      </w:r>
      <w:r>
        <w:rPr>
          <w:rFonts w:ascii="Calibri" w:hAnsi="Calibri"/>
          <w:color w:val="525866"/>
          <w:sz w:val="22"/>
        </w:rPr>
        <w:t>"strong demand in aerospace and defense components" — positive read-through for AME’s A&amp;D subsegment (guided ~10% growth FY).</w:t>
      </w:r>
    </w:p>
    <w:p>
      <w:pPr>
        <w:pStyle w:val="ListBullet"/>
        <w:ind w:left="360" w:hanging="360"/>
      </w:pPr>
      <w:r>
        <w:rPr>
          <w:rFonts w:ascii="Calibri" w:hAnsi="Calibri"/>
          <w:b/>
          <w:color w:val="525866"/>
          <w:sz w:val="22"/>
        </w:rPr>
        <w:t xml:space="preserve">Heat exchangers for data center liquid cooling had their "best quarter ever"; DOV is actively working to double capacity over 12 months — </w:t>
      </w:r>
      <w:r>
        <w:rPr>
          <w:rFonts w:ascii="Calibri" w:hAnsi="Calibri"/>
          <w:color w:val="525866"/>
          <w:sz w:val="22"/>
        </w:rPr>
        <w:t>"demand tied to data center infrastructure remains exceptional, with customers securing capacity well ahead of need." Validates AME’s data center exposure (RTDS, Abaco, power simulation).</w:t>
      </w:r>
    </w:p>
    <w:p>
      <w:pPr>
        <w:pStyle w:val="ListBullet"/>
        <w:ind w:left="360" w:hanging="360"/>
      </w:pPr>
      <w:r>
        <w:rPr>
          <w:rFonts w:ascii="Calibri" w:hAnsi="Calibri"/>
          <w:b/>
          <w:color w:val="525866"/>
          <w:sz w:val="22"/>
        </w:rPr>
        <w:t xml:space="preserve">Biopharma/single-use connectors performing well with new product introductions — </w:t>
      </w:r>
      <w:r>
        <w:rPr>
          <w:rFonts w:ascii="Calibri" w:hAnsi="Calibri"/>
          <w:color w:val="525866"/>
          <w:sz w:val="22"/>
        </w:rPr>
        <w:t>positive read-through for AME’s medical segment (guided mid-single digits FY 2026).</w:t>
      </w:r>
    </w:p>
    <w:p>
      <w:pPr>
        <w:pStyle w:val="ListBullet"/>
        <w:ind w:left="360" w:hanging="360"/>
      </w:pPr>
      <w:r>
        <w:rPr>
          <w:rFonts w:ascii="Calibri" w:hAnsi="Calibri"/>
          <w:b/>
          <w:color w:val="525866"/>
          <w:sz w:val="22"/>
        </w:rPr>
        <w:t xml:space="preserve">DOV raised full-year adj. EPS guidance and expects positive organic growth across all five segments in H2 — </w:t>
      </w:r>
      <w:r>
        <w:rPr>
          <w:rFonts w:ascii="Calibri" w:hAnsi="Calibri"/>
          <w:color w:val="525866"/>
          <w:sz w:val="22"/>
        </w:rPr>
        <w:t>"I don’t see anybody going negative moving into 27" — broad industrial confidence supportive of AME’s raised FY guide.</w:t>
      </w:r>
    </w:p>
    <w:p>
      <w:pPr>
        <w:pStyle w:val="ListBullet"/>
        <w:ind w:left="360" w:hanging="360"/>
      </w:pPr>
      <w:r>
        <w:rPr>
          <w:rFonts w:ascii="Calibri" w:hAnsi="Calibri"/>
          <w:b/>
          <w:color w:val="525866"/>
          <w:sz w:val="22"/>
        </w:rPr>
        <w:t xml:space="preserve">Polymer processing book-to-bill above 1.0 — </w:t>
      </w:r>
      <w:r>
        <w:rPr>
          <w:rFonts w:ascii="Calibri" w:hAnsi="Calibri"/>
          <w:color w:val="525866"/>
          <w:sz w:val="22"/>
        </w:rPr>
        <w:t>early signal of stabilization in longer-cycle process businesses, consistent with AME’s process segment inflection.</w:t>
      </w:r>
    </w:p>
    <w:p>
      <w:pPr>
        <w:pStyle w:val="Heading3"/>
      </w:pPr>
      <w:r>
        <w:rPr>
          <w:rFonts w:ascii="Calibri" w:hAnsi="Calibri"/>
          <w:b/>
          <w:color w:val="3B4259"/>
          <w:sz w:val="24"/>
        </w:rPr>
        <w:t>Eaton Corporation (ETN) — Q2 2026 Earnings (July 31, 2026)</w:t>
      </w:r>
    </w:p>
    <w:p>
      <w:r>
        <w:rPr>
          <w:rFonts w:ascii="Calibri" w:hAnsi="Calibri"/>
          <w:b/>
          <w:color w:val="525866"/>
          <w:sz w:val="22"/>
        </w:rPr>
        <w:t xml:space="preserve">Relevance to AME: </w:t>
      </w:r>
      <w:r>
        <w:rPr>
          <w:rFonts w:ascii="Calibri" w:hAnsi="Calibri"/>
          <w:color w:val="525866"/>
          <w:sz w:val="22"/>
        </w:rPr>
        <w:t>ETN’s electrical and aerospace segments overlap with AME’s power, A&amp;D, and data center exposures. ETN’s unprecedented demand commentary is the strongest macro signal in the peer group.</w:t>
      </w:r>
    </w:p>
    <w:p>
      <w:pPr>
        <w:pStyle w:val="ListBullet"/>
        <w:ind w:left="360" w:hanging="360"/>
      </w:pPr>
      <w:r>
        <w:rPr>
          <w:rFonts w:ascii="Calibri" w:hAnsi="Calibri"/>
          <w:b/>
          <w:color w:val="525866"/>
          <w:sz w:val="22"/>
        </w:rPr>
        <w:t xml:space="preserve">Record revenue of $8.5B with 14% organic growth; adj. EPS of $3.15 beat guidance by $0.10 at midpoint — </w:t>
      </w:r>
      <w:r>
        <w:rPr>
          <w:rFonts w:ascii="Calibri" w:hAnsi="Calibri"/>
          <w:color w:val="525866"/>
          <w:sz w:val="22"/>
        </w:rPr>
        <w:t>raised full-year organic growth guidance by 200 bps to 11–13% midpoint. Strongest demand signal in the industrial peer group.</w:t>
      </w:r>
    </w:p>
    <w:p>
      <w:pPr>
        <w:pStyle w:val="ListBullet"/>
        <w:ind w:left="360" w:hanging="360"/>
      </w:pPr>
      <w:r>
        <w:rPr>
          <w:rFonts w:ascii="Calibri" w:hAnsi="Calibri"/>
          <w:b/>
          <w:color w:val="525866"/>
          <w:sz w:val="22"/>
        </w:rPr>
        <w:t xml:space="preserve">Total company book-to-bill of 1.2; Electrical Americas book-to-bill expanded to 1.3 — </w:t>
      </w:r>
      <w:r>
        <w:rPr>
          <w:rFonts w:ascii="Calibri" w:hAnsi="Calibri"/>
          <w:color w:val="525866"/>
          <w:sz w:val="22"/>
        </w:rPr>
        <w:t>"accelerating orders and growing backlogs are clear proof points that our customer-focused solutions are winning." Validates AME’s record backlog thesis.</w:t>
      </w:r>
    </w:p>
    <w:p>
      <w:pPr>
        <w:pStyle w:val="ListBullet"/>
        <w:ind w:left="360" w:hanging="360"/>
      </w:pPr>
      <w:r>
        <w:rPr>
          <w:rFonts w:ascii="Calibri" w:hAnsi="Calibri"/>
          <w:b/>
          <w:color w:val="525866"/>
          <w:sz w:val="22"/>
        </w:rPr>
        <w:t xml:space="preserve">Data center organic revenues up 65% (vs. market growing 23%); US data center backlog grew to 307 GW (15 years of backlog at 2025 build rates) — </w:t>
      </w:r>
      <w:r>
        <w:rPr>
          <w:rFonts w:ascii="Calibri" w:hAnsi="Calibri"/>
          <w:color w:val="525866"/>
          <w:sz w:val="22"/>
        </w:rPr>
        <w:t>"demand in the data center market continues to grow even faster than we estimated." Directly supports AME’s data center-adjacent businesses (RTDS, Abaco, power simulation, nuclear).</w:t>
      </w:r>
    </w:p>
    <w:p>
      <w:pPr>
        <w:pStyle w:val="ListBullet"/>
        <w:ind w:left="360" w:hanging="360"/>
      </w:pPr>
      <w:r>
        <w:rPr>
          <w:rFonts w:ascii="Calibri" w:hAnsi="Calibri"/>
          <w:b/>
          <w:color w:val="525866"/>
          <w:sz w:val="22"/>
        </w:rPr>
        <w:t xml:space="preserve">Aerospace organic sales +7% with record quarterly sales and record Q2 segment profit; commercial OEM and aftermarket both strong — </w:t>
      </w:r>
      <w:r>
        <w:rPr>
          <w:rFonts w:ascii="Calibri" w:hAnsi="Calibri"/>
          <w:color w:val="525866"/>
          <w:sz w:val="22"/>
        </w:rPr>
        <w:t>positive read-through for AME’s A&amp;D subsegment.</w:t>
      </w:r>
    </w:p>
    <w:p>
      <w:pPr>
        <w:pStyle w:val="ListBullet"/>
        <w:ind w:left="360" w:hanging="360"/>
      </w:pPr>
      <w:r>
        <w:rPr>
          <w:rFonts w:ascii="Calibri" w:hAnsi="Calibri"/>
          <w:b/>
          <w:color w:val="525866"/>
          <w:sz w:val="22"/>
        </w:rPr>
        <w:t xml:space="preserve">Electrical Americas margins improved 190 bps QoQ to 27.5%; company targeting 32% operating margin by 2030 — </w:t>
      </w:r>
      <w:r>
        <w:rPr>
          <w:rFonts w:ascii="Calibri" w:hAnsi="Calibri"/>
          <w:color w:val="525866"/>
          <w:sz w:val="22"/>
        </w:rPr>
        <w:t>validates AME’s margin expansion thesis and 35% incremental margin guidance.</w:t>
      </w:r>
    </w:p>
    <w:p>
      <w:pPr>
        <w:pStyle w:val="ListBullet"/>
        <w:ind w:left="360" w:hanging="360"/>
      </w:pPr>
      <w:r>
        <w:rPr>
          <w:rFonts w:ascii="Calibri" w:hAnsi="Calibri"/>
          <w:b/>
          <w:color w:val="525866"/>
          <w:sz w:val="22"/>
        </w:rPr>
        <w:t xml:space="preserve">Machine OEM recovering strongly with double-digit organic growth; orders in mid-30s — </w:t>
      </w:r>
      <w:r>
        <w:rPr>
          <w:rFonts w:ascii="Calibri" w:hAnsi="Calibri"/>
          <w:color w:val="525866"/>
          <w:sz w:val="22"/>
        </w:rPr>
        <w:t>positive read-through for AME’s automation and engineered solutions subsegment (guided mid-single digits FY).</w:t>
      </w:r>
    </w:p>
    <w:p>
      <w:pPr>
        <w:pStyle w:val="Heading3"/>
      </w:pPr>
      <w:r>
        <w:rPr>
          <w:rFonts w:ascii="Calibri" w:hAnsi="Calibri"/>
          <w:b/>
          <w:color w:val="3B4259"/>
          <w:sz w:val="24"/>
        </w:rPr>
        <w:t>IDEX Corporation (IEX) — Q2 2026 Earnings (July 29, 2026)</w:t>
      </w:r>
    </w:p>
    <w:p>
      <w:r>
        <w:rPr>
          <w:rFonts w:ascii="Calibri" w:hAnsi="Calibri"/>
          <w:b/>
          <w:color w:val="525866"/>
          <w:sz w:val="22"/>
        </w:rPr>
        <w:t xml:space="preserve">Relevance to AME: </w:t>
      </w:r>
      <w:r>
        <w:rPr>
          <w:rFonts w:ascii="Calibri" w:hAnsi="Calibri"/>
          <w:color w:val="525866"/>
          <w:sz w:val="22"/>
        </w:rPr>
        <w:t>IEX’s HST segment (data center, semiconductor, space &amp; defense) and FMT segment (water, mining, process) are highly relevant to AME’s EIG process, power, and A&amp;D subsegments.</w:t>
      </w:r>
    </w:p>
    <w:p>
      <w:pPr>
        <w:pStyle w:val="ListBullet"/>
        <w:ind w:left="360" w:hanging="360"/>
      </w:pPr>
      <w:r>
        <w:rPr>
          <w:rFonts w:ascii="Calibri" w:hAnsi="Calibri"/>
          <w:b/>
          <w:color w:val="525866"/>
          <w:sz w:val="22"/>
        </w:rPr>
        <w:t xml:space="preserve">Record orders of over $1B, up 28% organically; HST led with 47% organic order growth — </w:t>
      </w:r>
      <w:r>
        <w:rPr>
          <w:rFonts w:ascii="Calibri" w:hAnsi="Calibri"/>
          <w:color w:val="525866"/>
          <w:sz w:val="22"/>
        </w:rPr>
        <w:t>"our fastest growing customers are increasingly submitting orders with request dates further into the future, primarily to prebook capacity." Validates AME’s record backlog and order visibility.</w:t>
      </w:r>
    </w:p>
    <w:p>
      <w:pPr>
        <w:pStyle w:val="ListBullet"/>
        <w:ind w:left="360" w:hanging="360"/>
      </w:pPr>
      <w:r>
        <w:rPr>
          <w:rFonts w:ascii="Calibri" w:hAnsi="Calibri"/>
          <w:b/>
          <w:color w:val="525866"/>
          <w:sz w:val="22"/>
        </w:rPr>
        <w:t xml:space="preserve">HST order growth driven by data center, semiconductor, and space &amp; defense — these three areas now represent over a third of HST revenue YTD — </w:t>
      </w:r>
      <w:r>
        <w:rPr>
          <w:rFonts w:ascii="Calibri" w:hAnsi="Calibri"/>
          <w:color w:val="525866"/>
          <w:sz w:val="22"/>
        </w:rPr>
        <w:t>direct read-through for AME’s Abaco (semiconductor/defense computing), SFMS (space/defense sensing), and RTDS (power/data center simulation) businesses.</w:t>
      </w:r>
    </w:p>
    <w:p>
      <w:pPr>
        <w:pStyle w:val="ListBullet"/>
        <w:ind w:left="360" w:hanging="360"/>
      </w:pPr>
      <w:r>
        <w:rPr>
          <w:rFonts w:ascii="Calibri" w:hAnsi="Calibri"/>
          <w:b/>
          <w:color w:val="525866"/>
          <w:sz w:val="22"/>
        </w:rPr>
        <w:t xml:space="preserve">"In Q2, we received a big chunk of data center business in the pneumatics world that’s clearly positioned for 2027" — </w:t>
      </w:r>
      <w:r>
        <w:rPr>
          <w:rFonts w:ascii="Calibri" w:hAnsi="Calibri"/>
          <w:color w:val="525866"/>
          <w:sz w:val="22"/>
        </w:rPr>
        <w:t>signals multi-year demand visibility in data center infrastructure, supporting AME’s long-cycle backlog thesis.</w:t>
      </w:r>
    </w:p>
    <w:p>
      <w:pPr>
        <w:pStyle w:val="ListBullet"/>
        <w:ind w:left="360" w:hanging="360"/>
      </w:pPr>
      <w:r>
        <w:rPr>
          <w:rFonts w:ascii="Calibri" w:hAnsi="Calibri"/>
          <w:b/>
          <w:color w:val="525866"/>
          <w:sz w:val="22"/>
        </w:rPr>
        <w:t xml:space="preserve">IEX raised full-year organic growth guidance to 5–6% (from 3–4%) and raised adj. EPS guidance to $8.70–$8.85 (from $8.35–$8.55) — </w:t>
      </w:r>
      <w:r>
        <w:rPr>
          <w:rFonts w:ascii="Calibri" w:hAnsi="Calibri"/>
          <w:color w:val="525866"/>
          <w:sz w:val="22"/>
        </w:rPr>
        <w:t>second consecutive guidance raise; validates AME’s raised FY 2026 guide.</w:t>
      </w:r>
    </w:p>
    <w:p>
      <w:pPr>
        <w:pStyle w:val="ListBullet"/>
        <w:ind w:left="360" w:hanging="360"/>
      </w:pPr>
      <w:r>
        <w:rPr>
          <w:rFonts w:ascii="Calibri" w:hAnsi="Calibri"/>
          <w:b/>
          <w:color w:val="525866"/>
          <w:sz w:val="22"/>
        </w:rPr>
        <w:t xml:space="preserve">HST incremental margins expected in the high-30s due to accretive gross margin mix from data center/semiconductor/defense — </w:t>
      </w:r>
      <w:r>
        <w:rPr>
          <w:rFonts w:ascii="Calibri" w:hAnsi="Calibri"/>
          <w:color w:val="525866"/>
          <w:sz w:val="22"/>
        </w:rPr>
        <w:t>positive read-through for AME’s EIG core margin expansion (guided +40 bps in Q1, targeting +50 bps FY).</w:t>
      </w:r>
    </w:p>
    <w:p>
      <w:pPr>
        <w:pStyle w:val="ListBullet"/>
        <w:ind w:left="360" w:hanging="360"/>
      </w:pPr>
      <w:r>
        <w:rPr>
          <w:rFonts w:ascii="Calibri" w:hAnsi="Calibri"/>
          <w:b/>
          <w:color w:val="525866"/>
          <w:sz w:val="22"/>
        </w:rPr>
        <w:t xml:space="preserve">FMT double-digit growth from water platform and mining exposures — </w:t>
      </w:r>
      <w:r>
        <w:rPr>
          <w:rFonts w:ascii="Calibri" w:hAnsi="Calibri"/>
          <w:color w:val="525866"/>
          <w:sz w:val="22"/>
        </w:rPr>
        <w:t>positive read-through for AME’s process and analytical instrumentation subsegment.</w:t>
      </w:r>
    </w:p>
    <w:p>
      <w:pPr>
        <w:pStyle w:val="ListBullet"/>
        <w:ind w:left="360" w:hanging="360"/>
      </w:pPr>
      <w:r>
        <w:rPr>
          <w:rFonts w:ascii="Calibri" w:hAnsi="Calibri"/>
          <w:b/>
          <w:color w:val="525866"/>
          <w:sz w:val="22"/>
        </w:rPr>
        <w:t xml:space="preserve">Rotation to "up and down the street, smaller order flow" through distribution channels in late Q2/July — </w:t>
      </w:r>
      <w:r>
        <w:rPr>
          <w:rFonts w:ascii="Calibri" w:hAnsi="Calibri"/>
          <w:color w:val="525866"/>
          <w:sz w:val="22"/>
        </w:rPr>
        <w:t>"indicates things like people working overtime and expanding a shift profile" — signals broad industrial economy strengthening, positive for AME’s shorter-cycle EMG businesses.</w:t>
      </w:r>
    </w:p>
    <w:p>
      <w:pPr>
        <w:pStyle w:val="Heading3"/>
      </w:pPr>
      <w:r>
        <w:rPr>
          <w:rFonts w:ascii="Calibri" w:hAnsi="Calibri"/>
          <w:b/>
          <w:color w:val="3B4259"/>
          <w:sz w:val="24"/>
        </w:rPr>
        <w:t>Illinois Tool Works (ITW) — Q2 2026 Earnings (July 28, 2026)</w:t>
      </w:r>
    </w:p>
    <w:p>
      <w:r>
        <w:rPr>
          <w:rFonts w:ascii="Calibri" w:hAnsi="Calibri"/>
          <w:b/>
          <w:color w:val="525866"/>
          <w:sz w:val="22"/>
        </w:rPr>
        <w:t xml:space="preserve">Relevance to AME: </w:t>
      </w:r>
      <w:r>
        <w:rPr>
          <w:rFonts w:ascii="Calibri" w:hAnsi="Calibri"/>
          <w:color w:val="525866"/>
          <w:sz w:val="22"/>
        </w:rPr>
        <w:t>ITW’s Test &amp; Measurement/Electronics and Welding segments are relevant to AME’s EIG instrumentation and EMG automation businesses. ITW’s margin execution is a useful benchmark.</w:t>
      </w:r>
    </w:p>
    <w:p>
      <w:pPr>
        <w:pStyle w:val="ListBullet"/>
        <w:ind w:left="360" w:hanging="360"/>
      </w:pPr>
      <w:r>
        <w:rPr>
          <w:rFonts w:ascii="Calibri" w:hAnsi="Calibri"/>
          <w:b/>
          <w:color w:val="525866"/>
          <w:sz w:val="22"/>
        </w:rPr>
        <w:t xml:space="preserve">4.5% organic growth in Q2; operating income of $1.15B — most profitable quarter in company history; raised full-year organic growth guidance by 150 bps to 3–4% midpoint — </w:t>
      </w:r>
      <w:r>
        <w:rPr>
          <w:rFonts w:ascii="Calibri" w:hAnsi="Calibri"/>
          <w:color w:val="525866"/>
          <w:sz w:val="22"/>
        </w:rPr>
        <w:t>second guidance raise of the year; validates broad industrial demand recovery.</w:t>
      </w:r>
    </w:p>
    <w:p>
      <w:pPr>
        <w:pStyle w:val="ListBullet"/>
        <w:ind w:left="360" w:hanging="360"/>
      </w:pPr>
      <w:r>
        <w:rPr>
          <w:rFonts w:ascii="Calibri" w:hAnsi="Calibri"/>
          <w:b/>
          <w:color w:val="525866"/>
          <w:sz w:val="22"/>
        </w:rPr>
        <w:t xml:space="preserve">Test &amp; Measurement/Electronics +10% organic, led by electronics +21% (PCB and semiconductor) — </w:t>
      </w:r>
      <w:r>
        <w:rPr>
          <w:rFonts w:ascii="Calibri" w:hAnsi="Calibri"/>
          <w:color w:val="525866"/>
          <w:sz w:val="22"/>
        </w:rPr>
        <w:t>"order growth continues to outpace revenue growth" — direct read-through for AME’s Abaco (semiconductor computing) and EIG instrumentation businesses.</w:t>
      </w:r>
    </w:p>
    <w:p>
      <w:pPr>
        <w:pStyle w:val="ListBullet"/>
        <w:ind w:left="360" w:hanging="360"/>
      </w:pPr>
      <w:r>
        <w:rPr>
          <w:rFonts w:ascii="Calibri" w:hAnsi="Calibri"/>
          <w:b/>
          <w:color w:val="525866"/>
          <w:sz w:val="22"/>
        </w:rPr>
        <w:t xml:space="preserve">Welding +14% organic with record top-line results; demand strengthening in infrastructure, energy, aerospace, and defense — </w:t>
      </w:r>
      <w:r>
        <w:rPr>
          <w:rFonts w:ascii="Calibri" w:hAnsi="Calibri"/>
          <w:color w:val="525866"/>
          <w:sz w:val="22"/>
        </w:rPr>
        <w:t>positive read-through for AME’s EMG automation and engineered solutions subsegment.</w:t>
      </w:r>
    </w:p>
    <w:p>
      <w:pPr>
        <w:pStyle w:val="ListBullet"/>
        <w:ind w:left="360" w:hanging="360"/>
      </w:pPr>
      <w:r>
        <w:rPr>
          <w:rFonts w:ascii="Calibri" w:hAnsi="Calibri"/>
          <w:b/>
          <w:color w:val="525866"/>
          <w:sz w:val="22"/>
        </w:rPr>
        <w:t xml:space="preserve">Customer Back Innovation (CBI) contributed 3% to H1 2026 revenue growth (vs. 2.4% FY 2025) — </w:t>
      </w:r>
      <w:r>
        <w:rPr>
          <w:rFonts w:ascii="Calibri" w:hAnsi="Calibri"/>
          <w:color w:val="525866"/>
          <w:sz w:val="22"/>
        </w:rPr>
        <w:t>validates AME’s Vitality Index of 25% (new products as % of sales) as a durable organic growth driver.</w:t>
      </w:r>
    </w:p>
    <w:p>
      <w:pPr>
        <w:pStyle w:val="ListBullet"/>
        <w:ind w:left="360" w:hanging="360"/>
      </w:pPr>
      <w:r>
        <w:rPr>
          <w:rFonts w:ascii="Calibri" w:hAnsi="Calibri"/>
          <w:b/>
          <w:color w:val="525866"/>
          <w:sz w:val="22"/>
        </w:rPr>
        <w:t xml:space="preserve">Enterprise initiatives contributed 120 bps to operating margin; targeting 30% operating margin by 2030 — </w:t>
      </w:r>
      <w:r>
        <w:rPr>
          <w:rFonts w:ascii="Calibri" w:hAnsi="Calibri"/>
          <w:color w:val="525866"/>
          <w:sz w:val="22"/>
        </w:rPr>
        <w:t>validates AME’s operational excellence model and margin expansion trajectory.</w:t>
      </w:r>
    </w:p>
    <w:p>
      <w:pPr>
        <w:pStyle w:val="ListBullet"/>
        <w:ind w:left="360" w:hanging="360"/>
      </w:pPr>
      <w:r>
        <w:rPr>
          <w:rFonts w:ascii="Calibri" w:hAnsi="Calibri"/>
          <w:b/>
          <w:color w:val="525866"/>
          <w:sz w:val="22"/>
        </w:rPr>
        <w:t xml:space="preserve">Price increases more than offset higher raw material costs; full-year price-cost headwind ~20 bps — </w:t>
      </w:r>
      <w:r>
        <w:rPr>
          <w:rFonts w:ascii="Calibri" w:hAnsi="Calibri"/>
          <w:color w:val="525866"/>
          <w:sz w:val="22"/>
        </w:rPr>
        <w:t>validates AME’s confidence that pricing will offset tariff and inflationary costs.</w:t>
      </w:r>
    </w:p>
    <w:p>
      <w:pPr>
        <w:pStyle w:val="Heading3"/>
      </w:pPr>
      <w:r>
        <w:rPr>
          <w:rFonts w:ascii="Calibri" w:hAnsi="Calibri"/>
          <w:b/>
          <w:color w:val="3B4259"/>
          <w:sz w:val="24"/>
        </w:rPr>
        <w:t>Emerson Electric (EMR) — Q2 2026 Earnings (May 5, 2026)</w:t>
      </w:r>
    </w:p>
    <w:p>
      <w:r>
        <w:rPr>
          <w:rFonts w:ascii="Calibri" w:hAnsi="Calibri"/>
          <w:b/>
          <w:color w:val="525866"/>
          <w:sz w:val="22"/>
        </w:rPr>
        <w:t xml:space="preserve">Relevance to AME: </w:t>
      </w:r>
      <w:r>
        <w:rPr>
          <w:rFonts w:ascii="Calibri" w:hAnsi="Calibri"/>
          <w:color w:val="525866"/>
          <w:sz w:val="22"/>
        </w:rPr>
        <w:t>EMR’s process automation and instrumentation businesses overlap with AME’s EIG process and analytical instrumentation subsegment. EMR’s Middle East commentary is directly relevant to AME’s watch item.</w:t>
      </w:r>
    </w:p>
    <w:p>
      <w:pPr>
        <w:pStyle w:val="ListBullet"/>
        <w:ind w:left="360" w:hanging="360"/>
      </w:pPr>
      <w:r>
        <w:rPr>
          <w:rFonts w:ascii="Calibri" w:hAnsi="Calibri"/>
          <w:b/>
          <w:color w:val="525866"/>
          <w:sz w:val="22"/>
        </w:rPr>
        <w:t xml:space="preserve">Q2 underlying sales growth of 0.5%, impacted by 1-point headwind from Middle East conflict; excluding Middle East and software renewal dynamic, growth was ~3% — </w:t>
      </w:r>
      <w:r>
        <w:rPr>
          <w:rFonts w:ascii="Calibri" w:hAnsi="Calibri"/>
          <w:color w:val="525866"/>
          <w:sz w:val="22"/>
        </w:rPr>
        <w:t>EMR has $1.2B in Middle East sales (7% of revenue) vs. AME’s ~2%; AME’s direct exposure is much smaller.</w:t>
      </w:r>
    </w:p>
    <w:p>
      <w:pPr>
        <w:pStyle w:val="ListBullet"/>
        <w:ind w:left="360" w:hanging="360"/>
      </w:pPr>
      <w:r>
        <w:rPr>
          <w:rFonts w:ascii="Calibri" w:hAnsi="Calibri"/>
          <w:b/>
          <w:color w:val="525866"/>
          <w:sz w:val="22"/>
        </w:rPr>
        <w:t xml:space="preserve">Underlying orders grew 5% in Q2; Software &amp; Systems orders +18%; Ovation (power) orders +41% — </w:t>
      </w:r>
      <w:r>
        <w:rPr>
          <w:rFonts w:ascii="Calibri" w:hAnsi="Calibri"/>
          <w:color w:val="525866"/>
          <w:sz w:val="22"/>
        </w:rPr>
        <w:t>"mid-single-digit orders are sustainable for us" — validates AME’s process and power order inflection.</w:t>
      </w:r>
    </w:p>
    <w:p>
      <w:pPr>
        <w:pStyle w:val="ListBullet"/>
        <w:ind w:left="360" w:hanging="360"/>
      </w:pPr>
      <w:r>
        <w:rPr>
          <w:rFonts w:ascii="Calibri" w:hAnsi="Calibri"/>
          <w:b/>
          <w:color w:val="525866"/>
          <w:sz w:val="22"/>
        </w:rPr>
        <w:t xml:space="preserve">Power vertical up 23% in Q2; LNG, life sciences, and semiconductor all robust — </w:t>
      </w:r>
      <w:r>
        <w:rPr>
          <w:rFonts w:ascii="Calibri" w:hAnsi="Calibri"/>
          <w:color w:val="525866"/>
          <w:sz w:val="22"/>
        </w:rPr>
        <w:t>positive read-through for AME’s power subsegment (guided mid-single digits FY) and process instrumentation.</w:t>
      </w:r>
    </w:p>
    <w:p>
      <w:pPr>
        <w:pStyle w:val="ListBullet"/>
        <w:ind w:left="360" w:hanging="360"/>
      </w:pPr>
      <w:r>
        <w:rPr>
          <w:rFonts w:ascii="Calibri" w:hAnsi="Calibri"/>
          <w:b/>
          <w:color w:val="525866"/>
          <w:sz w:val="22"/>
        </w:rPr>
        <w:t xml:space="preserve">China down mid-single digits for FY due to overcapacitized chemical industry — </w:t>
      </w:r>
      <w:r>
        <w:rPr>
          <w:rFonts w:ascii="Calibri" w:hAnsi="Calibri"/>
          <w:color w:val="525866"/>
          <w:sz w:val="22"/>
        </w:rPr>
        <w:t>watch item for AME, though AME’s China was up high-teens in Q1 driven by process and power (different end market mix than EMR’s chemical exposure).</w:t>
      </w:r>
    </w:p>
    <w:p>
      <w:pPr>
        <w:pStyle w:val="ListBullet"/>
        <w:ind w:left="360" w:hanging="360"/>
      </w:pPr>
      <w:r>
        <w:rPr>
          <w:rFonts w:ascii="Calibri" w:hAnsi="Calibri"/>
          <w:b/>
          <w:color w:val="525866"/>
          <w:sz w:val="22"/>
        </w:rPr>
        <w:t xml:space="preserve">Adjusted segment EBITDA margin of 27.6% exceeded expectations; price contributed 3.5 points to growth — </w:t>
      </w:r>
      <w:r>
        <w:rPr>
          <w:rFonts w:ascii="Calibri" w:hAnsi="Calibri"/>
          <w:color w:val="525866"/>
          <w:sz w:val="22"/>
        </w:rPr>
        <w:t>validates AME’s pricing power thesis and margin expansion capability in process/instrumentation businesses.</w:t>
      </w:r>
    </w:p>
    <w:p>
      <w:pPr>
        <w:pStyle w:val="ListBullet"/>
        <w:ind w:left="360" w:hanging="360"/>
      </w:pPr>
      <w:r>
        <w:rPr>
          <w:rFonts w:ascii="Calibri" w:hAnsi="Calibri"/>
          <w:b/>
          <w:color w:val="525866"/>
          <w:sz w:val="22"/>
        </w:rPr>
        <w:t xml:space="preserve">Middle East rebuild opportunity estimated at ~$100M over several quarters — </w:t>
      </w:r>
      <w:r>
        <w:rPr>
          <w:rFonts w:ascii="Calibri" w:hAnsi="Calibri"/>
          <w:color w:val="525866"/>
          <w:sz w:val="22"/>
        </w:rPr>
        <w:t>potential incremental tailwind for AME’s process/energy instrumentation businesses if Middle East activity normalizes.</w:t>
      </w:r>
    </w:p>
    <w:p>
      <w:pPr>
        <w:pStyle w:val="Heading3"/>
      </w:pPr>
      <w:r>
        <w:rPr>
          <w:rFonts w:ascii="Calibri" w:hAnsi="Calibri"/>
          <w:b/>
          <w:color w:val="3B4259"/>
          <w:sz w:val="24"/>
        </w:rPr>
        <w:t>Regal Rexnord (RRX) — Q1 2026 Earnings (May 7, 2026)</w:t>
      </w:r>
    </w:p>
    <w:p>
      <w:r>
        <w:rPr>
          <w:rFonts w:ascii="Calibri" w:hAnsi="Calibri"/>
          <w:b/>
          <w:color w:val="525866"/>
          <w:sz w:val="22"/>
        </w:rPr>
        <w:t xml:space="preserve">Relevance to AME: </w:t>
      </w:r>
      <w:r>
        <w:rPr>
          <w:rFonts w:ascii="Calibri" w:hAnsi="Calibri"/>
          <w:color w:val="525866"/>
          <w:sz w:val="22"/>
        </w:rPr>
        <w:t>RRX’s AMC segment (automation, motion control, data center, A&amp;D, medical) and IPS segment (industrial powertrain) are relevant to AME’s EMG automation and engineered solutions businesses. Reported May 7 — covers the current demand environment heading into AME’s Q2.</w:t>
      </w:r>
    </w:p>
    <w:p>
      <w:pPr>
        <w:pStyle w:val="ListBullet"/>
        <w:ind w:left="360" w:hanging="360"/>
      </w:pPr>
      <w:r>
        <w:rPr>
          <w:rFonts w:ascii="Calibri" w:hAnsi="Calibri"/>
          <w:b/>
          <w:color w:val="525866"/>
          <w:sz w:val="22"/>
        </w:rPr>
        <w:t xml:space="preserve">AMC orders up 34% YoY across all key verticals; A&amp;D orders up 76%, medical up 53%, discrete automation up 18% — </w:t>
      </w:r>
      <w:r>
        <w:rPr>
          <w:rFonts w:ascii="Calibri" w:hAnsi="Calibri"/>
          <w:color w:val="525866"/>
          <w:sz w:val="22"/>
        </w:rPr>
        <w:t>"incredible strength in our defense business" — validates AME’s A&amp;D guide of ~10% growth and medical mid-single digit guide.</w:t>
      </w:r>
    </w:p>
    <w:p>
      <w:pPr>
        <w:pStyle w:val="ListBullet"/>
        <w:ind w:left="360" w:hanging="360"/>
      </w:pPr>
      <w:r>
        <w:rPr>
          <w:rFonts w:ascii="Calibri" w:hAnsi="Calibri"/>
          <w:b/>
          <w:color w:val="525866"/>
          <w:sz w:val="22"/>
        </w:rPr>
        <w:t xml:space="preserve">Enterprise orders up 8.5% daily in Q1; April orders up 4.6% daily — </w:t>
      </w:r>
      <w:r>
        <w:rPr>
          <w:rFonts w:ascii="Calibri" w:hAnsi="Calibri"/>
          <w:color w:val="525866"/>
          <w:sz w:val="22"/>
        </w:rPr>
        <w:t>broad-based order momentum continuing into Q2, positive for AME’s Q2 order expectations.</w:t>
      </w:r>
    </w:p>
    <w:p>
      <w:pPr>
        <w:pStyle w:val="ListBullet"/>
        <w:ind w:left="360" w:hanging="360"/>
      </w:pPr>
      <w:r>
        <w:rPr>
          <w:rFonts w:ascii="Calibri" w:hAnsi="Calibri"/>
          <w:b/>
          <w:color w:val="525866"/>
          <w:sz w:val="22"/>
        </w:rPr>
        <w:t xml:space="preserve">Data center remains "very, very bullish"; $735M order announced Q4/Q1; 2026 data center sales expected at $180M (up from $120M in 2025) — </w:t>
      </w:r>
      <w:r>
        <w:rPr>
          <w:rFonts w:ascii="Calibri" w:hAnsi="Calibri"/>
          <w:color w:val="525866"/>
          <w:sz w:val="22"/>
        </w:rPr>
        <w:t>validates AME’s data center-adjacent demand (RTDS, Abaco, power simulation).</w:t>
      </w:r>
    </w:p>
    <w:p>
      <w:pPr>
        <w:pStyle w:val="ListBullet"/>
        <w:ind w:left="360" w:hanging="360"/>
      </w:pPr>
      <w:r>
        <w:rPr>
          <w:rFonts w:ascii="Calibri" w:hAnsi="Calibri"/>
          <w:b/>
          <w:color w:val="525866"/>
          <w:sz w:val="22"/>
        </w:rPr>
        <w:t xml:space="preserve">General industrial and discrete automation markets recovering, consistent with expansionary ISM readings — </w:t>
      </w:r>
      <w:r>
        <w:rPr>
          <w:rFonts w:ascii="Calibri" w:hAnsi="Calibri"/>
          <w:color w:val="525866"/>
          <w:sz w:val="22"/>
        </w:rPr>
        <w:t>positive read-through for AME’s EMG automation and engineered solutions subsegment (guided mid-single digits FY).</w:t>
      </w:r>
    </w:p>
    <w:p>
      <w:pPr>
        <w:pStyle w:val="ListBullet"/>
        <w:ind w:left="360" w:hanging="360"/>
      </w:pPr>
      <w:r>
        <w:rPr>
          <w:rFonts w:ascii="Calibri" w:hAnsi="Calibri"/>
          <w:b/>
          <w:color w:val="525866"/>
          <w:sz w:val="22"/>
        </w:rPr>
        <w:t xml:space="preserve">Raised full-year sales growth guidance to ~4.5% (from ~3%); EPS guidance unchanged at $10.20–$11.00 — </w:t>
      </w:r>
      <w:r>
        <w:rPr>
          <w:rFonts w:ascii="Calibri" w:hAnsi="Calibri"/>
          <w:color w:val="525866"/>
          <w:sz w:val="22"/>
        </w:rPr>
        <w:t>validates improving end market backdrop heading into AME’s Q2.</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by senior insiders since the Q1 earnings print; the only transactions are a routine equity grant to a new director and a non-open-market disposition (transaction code J — likely a tax withholding or transfer) by the Chief Administrative Officer. </w:t>
      </w:r>
      <w:r>
        <w:rPr>
          <w:rFonts w:ascii="Calibri" w:hAnsi="Calibri"/>
          <w:b/>
          <w:color w:val="525866"/>
          <w:sz w:val="22"/>
        </w:rPr>
        <w:t>Nothing notable to flag.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 / 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Ronald J. Oscher</w:t>
            </w:r>
          </w:p>
        </w:tc>
        <w:tc>
          <w:tcPr>
            <w:tcW w:type="dxa" w:w="1440"/>
          </w:tcPr>
          <w:p>
            <w:r>
              <w:rPr>
                <w:rFonts w:ascii="Calibri" w:hAnsi="Calibri"/>
                <w:sz w:val="22"/>
              </w:rPr>
              <w:t>Chief Administrative Officer</w:t>
            </w:r>
          </w:p>
        </w:tc>
        <w:tc>
          <w:tcPr>
            <w:tcW w:type="dxa" w:w="1440"/>
          </w:tcPr>
          <w:p>
            <w:r>
              <w:rPr>
                <w:rFonts w:ascii="Calibri" w:hAnsi="Calibri"/>
                <w:sz w:val="22"/>
              </w:rPr>
              <w:t>Non-Open-Market Disposition (Code J)</w:t>
            </w:r>
          </w:p>
        </w:tc>
        <w:tc>
          <w:tcPr>
            <w:tcW w:type="dxa" w:w="1440"/>
          </w:tcPr>
          <w:p>
            <w:r>
              <w:rPr>
                <w:rFonts w:ascii="Calibri" w:hAnsi="Calibri"/>
                <w:sz w:val="22"/>
              </w:rPr>
              <w:t>39,954 shares disposed; 2,887 shares remaining</w:t>
            </w:r>
          </w:p>
        </w:tc>
        <w:tc>
          <w:tcPr>
            <w:tcW w:type="dxa" w:w="1440"/>
          </w:tcPr>
          <w:p>
            <w:r>
              <w:rPr>
                <w:rFonts w:ascii="Calibri" w:hAnsi="Calibri"/>
                <w:sz w:val="22"/>
              </w:rPr>
              <w:t>May 27, 2026</w:t>
            </w:r>
          </w:p>
        </w:tc>
        <w:tc>
          <w:tcPr>
            <w:tcW w:type="dxa" w:w="1440"/>
          </w:tcPr>
          <w:p>
            <w:r>
              <w:rPr>
                <w:rFonts w:ascii="Calibri" w:hAnsi="Calibri"/>
                <w:sz w:val="22"/>
              </w:rPr>
              <w:t>Code J = non-open-market transaction (e.g., tax withholding, transfer, or gift). Not a discretionary open-market sale. Not a 10b5-1 plan. No negative signal.</w:t>
            </w:r>
          </w:p>
        </w:tc>
      </w:tr>
      <w:tr>
        <w:tc>
          <w:tcPr>
            <w:tcW w:type="dxa" w:w="1440"/>
          </w:tcPr>
          <w:p>
            <w:r>
              <w:rPr>
                <w:rFonts w:ascii="Calibri" w:hAnsi="Calibri"/>
                <w:sz w:val="22"/>
              </w:rPr>
              <w:t>Nick L. Stanage</w:t>
            </w:r>
          </w:p>
        </w:tc>
        <w:tc>
          <w:tcPr>
            <w:tcW w:type="dxa" w:w="1440"/>
          </w:tcPr>
          <w:p>
            <w:r>
              <w:rPr>
                <w:rFonts w:ascii="Calibri" w:hAnsi="Calibri"/>
                <w:sz w:val="22"/>
              </w:rPr>
              <w:t>Director (newly appointed)</w:t>
            </w:r>
          </w:p>
        </w:tc>
        <w:tc>
          <w:tcPr>
            <w:tcW w:type="dxa" w:w="1440"/>
          </w:tcPr>
          <w:p>
            <w:r>
              <w:rPr>
                <w:rFonts w:ascii="Calibri" w:hAnsi="Calibri"/>
                <w:sz w:val="22"/>
              </w:rPr>
              <w:t>Grant / Award (Code A)</w:t>
            </w:r>
          </w:p>
        </w:tc>
        <w:tc>
          <w:tcPr>
            <w:tcW w:type="dxa" w:w="1440"/>
          </w:tcPr>
          <w:p>
            <w:r>
              <w:rPr>
                <w:rFonts w:ascii="Calibri" w:hAnsi="Calibri"/>
                <w:sz w:val="22"/>
              </w:rPr>
              <w:t>760 shares acquired; 760 shares total</w:t>
            </w:r>
          </w:p>
        </w:tc>
        <w:tc>
          <w:tcPr>
            <w:tcW w:type="dxa" w:w="1440"/>
          </w:tcPr>
          <w:p>
            <w:r>
              <w:rPr>
                <w:rFonts w:ascii="Calibri" w:hAnsi="Calibri"/>
                <w:sz w:val="22"/>
              </w:rPr>
              <w:t>May 7, 2026</w:t>
            </w:r>
          </w:p>
        </w:tc>
        <w:tc>
          <w:tcPr>
            <w:tcW w:type="dxa" w:w="1440"/>
          </w:tcPr>
          <w:p>
            <w:r>
              <w:rPr>
                <w:rFonts w:ascii="Calibri" w:hAnsi="Calibri"/>
                <w:sz w:val="22"/>
              </w:rPr>
              <w:t>Routine equity grant upon appointment as independent director. No signal.</w:t>
            </w:r>
          </w:p>
        </w:tc>
      </w:tr>
    </w:tbl>
    <w:p>
      <w:r>
        <w:rPr>
          <w:rFonts w:ascii="Calibri" w:hAnsi="Calibri"/>
          <w:color w:val="525866"/>
          <w:sz w:val="22"/>
        </w:rPr>
        <w:t>No open-market purchases (Code P) or open-market sales (Code S) were filed by any AME insider in the period from April 30 to August 3, 2026. The absence of discretionary selling by senior management ahead of earnings is a mild positive signal, consistent with management’s confident tone on the Q1 call.</w:t>
      </w:r>
    </w:p>
    <w:p>
      <w:r>
        <w:rPr>
          <w:rFonts w:ascii="Calibri" w:hAnsi="Calibri"/>
          <w:i/>
          <w:color w:val="525866"/>
          <w:sz w:val="22"/>
        </w:rPr>
        <w:t>Source: SEC Form 4 Filings Database (Insider Transaction Data).</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