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gn-earnings-predictions--2026-08-04"/>
    <w:p>
      <w:pPr>
        <w:pStyle w:val="Heading1"/>
      </w:pPr>
      <w:r>
        <w:t xml:space="preserve">AMGN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9.60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Repatha Product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37.8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39.0B vs. cons ~$37.9B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22.20</m:t>
              </m:r>
              <m:r>
                <m:rPr>
                  <m:sty m:val="p"/>
                </m:rPr>
                <m:t>−</m:t>
              </m:r>
            </m:oMath>
            <w:r>
              <w:t xml:space="preserve">23.40 vs. cons ~$22.50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Prolia/XGEVA Erosion Pace Commentary (Q2/FY2026)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~-30% YoY decline vs. cons ~-25% YoY decline (FY2026 erosion trend)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Stock already de-risked into the print (pulled back ~3.6% from the $393 high amid the cyber-incident disclosure), so a likely beat-and-raise on EPS/revenue plus modest guidance lift is largely pre-digested by the 15% run since May; initial pop should fade over days 2-5 as analysts net the beat against implicit FY cuts embedded in accelerating Prolia/XGEVA/Enbrel erosion, unresolved TAVNEOS withdrawal proceedings, the IRS NOPA overhang, and no new MariTide pivotal data — all limiting durable upward estimate revisions even after a headline beat.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2026-08-04T01:41:41Z</dcterms:created>
  <dcterms:modified xsi:type="dcterms:W3CDTF">2026-08-04T01:41:41Z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