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gn-earnings-predictions--2026-08-04"/>
    <w:p>
      <w:pPr>
        <w:pStyle w:val="Heading1"/>
      </w:pPr>
      <w:r>
        <w:t xml:space="preserve">AMGN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~$9.18B vs. cons $9.15B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~$5.32 vs. cons $5.22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Prolia + XGEVA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~$1.00B vs. cons $1.04B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total-revenue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~$37.80B midpoint vs. cons $37.85B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~$22.40 midpoint vs. cons $22.45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~45.5% midpoint vs. cons 45.5%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-4.1% (FOLLOW-THROUGH)</w:t>
            </w:r>
          </w:p>
        </w:tc>
        <w:tc>
          <w:tcPr/>
          <w:p>
            <w:pPr>
              <w:pStyle w:val="Compact"/>
            </w:pPr>
            <w:r>
              <w:t xml:space="preserve">A ~$5.32 EPS result versus</w:t>
            </w:r>
            <w:r>
              <w:t xml:space="preserve"> </w:t>
            </w:r>
            <m:oMath>
              <m:r>
                <m:t>5.22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s</m:t>
              </m:r>
              <m:r>
                <m:t>u</m:t>
              </m:r>
              <m:r>
                <m:t>f</m:t>
              </m:r>
              <m:r>
                <m:t>f</m:t>
              </m:r>
              <m:r>
                <m:t>i</m:t>
              </m:r>
              <m:r>
                <m:t>c</m:t>
              </m:r>
              <m:r>
                <m:t>i</m:t>
              </m:r>
              <m:r>
                <m:t>e</m:t>
              </m:r>
              <m:r>
                <m:t>n</m:t>
              </m:r>
              <m:r>
                <m:t>t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a</m:t>
              </m:r>
              <m:r>
                <m:t> </m:t>
              </m:r>
            </m:oMath>
            <w:r>
              <w:t xml:space="preserve">1.00B denosumab result versus $1.04B consensus and unchanged $37.80B revenue / $22.40 EPS FY2026 guide versus $37.85B / $22.45B consensus; the lack of an out-period raise should prompt modest 2026-2027 estimate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2026-08-04T01:34:00Z</dcterms:created>
  <dcterms:modified xsi:type="dcterms:W3CDTF">2026-08-04T01:34:00Z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