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mgen-amgn--2026-q2-earnings-preview"/>
    <w:p>
      <w:pPr>
        <w:pStyle w:val="Heading1"/>
      </w:pPr>
      <w:r>
        <w:t xml:space="preserve">Amgen (AMGN) — 2026 Q2 Earnings Preview</w:t>
      </w:r>
    </w:p>
    <w:p>
      <w:pPr>
        <w:pStyle w:val="BlockText"/>
      </w:pPr>
      <w:r>
        <w:rPr>
          <w:b/>
          <w:bCs/>
        </w:rPr>
        <w:t xml:space="preserve">Date clarification:</w:t>
      </w:r>
      <w:r>
        <w:t xml:space="preserve"> </w:t>
      </w:r>
      <w:r>
        <w:t xml:space="preserve">The stated event date is</w:t>
      </w:r>
      <w:r>
        <w:t xml:space="preserve"> </w:t>
      </w:r>
      <w:r>
        <w:rPr>
          <w:b/>
          <w:bCs/>
        </w:rPr>
        <w:t xml:space="preserve">August 4, 2026</w:t>
      </w:r>
      <w:r>
        <w:t xml:space="preserve">, which is</w:t>
      </w:r>
      <w:r>
        <w:t xml:space="preserve"> </w:t>
      </w:r>
      <w:r>
        <w:rPr>
          <w:b/>
          <w:bCs/>
        </w:rPr>
        <w:t xml:space="preserve">today</w:t>
      </w:r>
      <w:r>
        <w:t xml:space="preserve">, not tomorrow. This preview is written ahead of the scheduled</w:t>
      </w:r>
      <w:r>
        <w:t xml:space="preserve"> </w:t>
      </w:r>
      <w:r>
        <w:rPr>
          <w:b/>
          <w:bCs/>
        </w:rPr>
        <w:t xml:space="preserve">2026 Q2 earnings call</w:t>
      </w:r>
      <w:r>
        <w:t xml:space="preserve">.</w:t>
      </w:r>
    </w:p>
    <w:bookmarkStart w:id="9" w:name="investment-view-execution-versus-erosion"/>
    <w:p>
      <w:pPr>
        <w:pStyle w:val="Heading2"/>
      </w:pPr>
      <w:r>
        <w:t xml:space="preserve">Investment view: execution versus erosion</w:t>
      </w:r>
    </w:p>
    <w:p>
      <w:pPr>
        <w:pStyle w:val="FirstParagraph"/>
      </w:pPr>
      <w:r>
        <w:t xml:space="preserve">Amgen enters Q2 with a constructive but demanding setup. The core debate is no longer whether the company has growth assets—it does—but whether growth in</w:t>
      </w:r>
      <w:r>
        <w:t xml:space="preserve"> </w:t>
      </w:r>
      <w:r>
        <w:rPr>
          <w:b/>
          <w:bCs/>
        </w:rPr>
        <w:t xml:space="preserve">Repatha, UPLIZNA, IMDELLTRA, EVENITY, TEPEZZA, and biosimilars</w:t>
      </w:r>
      <w:r>
        <w:t xml:space="preserve"> </w:t>
      </w:r>
      <w:r>
        <w:t xml:space="preserve">can continue to outpace accelerating losses in the mature portfolio, principally</w:t>
      </w:r>
      <w:r>
        <w:t xml:space="preserve"> </w:t>
      </w:r>
      <w:r>
        <w:rPr>
          <w:b/>
          <w:bCs/>
        </w:rPr>
        <w:t xml:space="preserve">Prolia, XGEVA, Enbrel, and eventually Otezla</w:t>
      </w:r>
      <w:r>
        <w:t xml:space="preserve">.</w:t>
      </w:r>
    </w:p>
    <w:p>
      <w:pPr>
        <w:pStyle w:val="BodyText"/>
      </w:pPr>
      <w:r>
        <w:t xml:space="preserve">Q1 supported management’s “springboard year” framing: product sales grew 4% year over year, and the six designated growth drivers generated nearly 70% of product sales and grew 24% collectively. But Q2 presents a harder comparison, and the market will likely be more focused on the</w:t>
      </w:r>
      <w:r>
        <w:t xml:space="preserve"> </w:t>
      </w:r>
      <w:r>
        <w:rPr>
          <w:i/>
          <w:iCs/>
        </w:rPr>
        <w:t xml:space="preserve">quality and durability</w:t>
      </w:r>
      <w:r>
        <w:t xml:space="preserve"> </w:t>
      </w:r>
      <w:r>
        <w:t xml:space="preserve">of growth than on a simple EPS beat.</w:t>
      </w:r>
    </w:p>
    <w:p>
      <w:pPr>
        <w:pStyle w:val="BodyText"/>
      </w:pPr>
      <w:r>
        <w:t xml:space="preserve">The key near-term stock drivers are:</w:t>
      </w:r>
    </w:p>
    <w:p>
      <w:pPr>
        <w:pStyle w:val="Compact"/>
        <w:numPr>
          <w:ilvl w:val="0"/>
          <w:numId w:val="1001"/>
        </w:numPr>
      </w:pPr>
      <w:r>
        <w:rPr>
          <w:b/>
          <w:bCs/>
        </w:rPr>
        <w:t xml:space="preserve">2026 guidance:</w:t>
      </w:r>
      <w:r>
        <w:t xml:space="preserve"> </w:t>
      </w:r>
      <w:r>
        <w:t xml:space="preserve">Whether Amgen reiterates or raises its</w:t>
      </w:r>
      <w:r>
        <w:t xml:space="preserve"> </w:t>
      </w:r>
      <m:oMath>
        <m:r>
          <m:t>37.1</m:t>
        </m:r>
        <m:r>
          <m:rPr>
            <m:sty m:val="p"/>
          </m:rPr>
          <m:t>–</m:t>
        </m:r>
      </m:oMath>
      <w:r>
        <w:rPr>
          <w:b/>
          <w:bCs/>
        </w:rPr>
        <w:t xml:space="preserve">38.5 billion revenue</w:t>
      </w:r>
      <w:r>
        <w:t xml:space="preserve"> </w:t>
      </w:r>
      <w:r>
        <w:t xml:space="preserve">and</w:t>
      </w:r>
      <w:r>
        <w:t xml:space="preserve"> </w:t>
      </w:r>
      <m:oMath>
        <m:r>
          <m:t>21.70</m:t>
        </m:r>
        <m:r>
          <m:rPr>
            <m:sty m:val="p"/>
          </m:rPr>
          <m:t>–</m:t>
        </m:r>
      </m:oMath>
      <w:r>
        <w:rPr>
          <w:b/>
          <w:bCs/>
        </w:rPr>
        <w:t xml:space="preserve">23.10 non-GAAP EPS</w:t>
      </w:r>
      <w:r>
        <w:t xml:space="preserve"> </w:t>
      </w:r>
      <w:r>
        <w:t xml:space="preserve">outlook.</w:t>
      </w:r>
    </w:p>
    <w:p>
      <w:pPr>
        <w:pStyle w:val="Compact"/>
        <w:numPr>
          <w:ilvl w:val="0"/>
          <w:numId w:val="1001"/>
        </w:numPr>
      </w:pPr>
      <w:r>
        <w:rPr>
          <w:b/>
          <w:bCs/>
        </w:rPr>
        <w:t xml:space="preserve">The shape of denosumab erosion:</w:t>
      </w:r>
      <w:r>
        <w:t xml:space="preserve"> </w:t>
      </w:r>
      <w:r>
        <w:t xml:space="preserve">Prolia and XGEVA are now the most material commercial offsets.</w:t>
      </w:r>
    </w:p>
    <w:p>
      <w:pPr>
        <w:pStyle w:val="Compact"/>
        <w:numPr>
          <w:ilvl w:val="0"/>
          <w:numId w:val="1001"/>
        </w:numPr>
      </w:pPr>
      <w:r>
        <w:rPr>
          <w:b/>
          <w:bCs/>
        </w:rPr>
        <w:t xml:space="preserve">Growth-product execution:</w:t>
      </w:r>
      <w:r>
        <w:t xml:space="preserve"> </w:t>
      </w:r>
      <w:r>
        <w:t xml:space="preserve">Repatha, UPLIZNA, IMDELLTRA and PAVBLU need to show continued uptake without excessive inventory assistance.</w:t>
      </w:r>
    </w:p>
    <w:p>
      <w:pPr>
        <w:pStyle w:val="Compact"/>
        <w:numPr>
          <w:ilvl w:val="0"/>
          <w:numId w:val="1001"/>
        </w:numPr>
      </w:pPr>
      <w:r>
        <w:rPr>
          <w:b/>
          <w:bCs/>
        </w:rPr>
        <w:t xml:space="preserve">Margins and investment discipline:</w:t>
      </w:r>
      <w:r>
        <w:t xml:space="preserve"> </w:t>
      </w:r>
      <w:r>
        <w:t xml:space="preserve">Investors will assess whether elevated MariTide and pipeline spending remains compatible with the company’s roughly mid-40% non-GAAP operating-margin framework.</w:t>
      </w:r>
    </w:p>
    <w:p>
      <w:pPr>
        <w:pStyle w:val="Compact"/>
        <w:numPr>
          <w:ilvl w:val="0"/>
          <w:numId w:val="1001"/>
        </w:numPr>
      </w:pPr>
      <w:r>
        <w:rPr>
          <w:b/>
          <w:bCs/>
        </w:rPr>
        <w:t xml:space="preserve">Recent cybersecurity disclosure:</w:t>
      </w:r>
      <w:r>
        <w:t xml:space="preserve"> </w:t>
      </w:r>
      <w:r>
        <w:t xml:space="preserve">Management will need to establish that the July incident is contained, financially manageable, and not disruptive to operations.</w:t>
      </w:r>
    </w:p>
    <w:p>
      <w:pPr>
        <w:pStyle w:val="FirstParagraph"/>
      </w:pPr>
      <w:r>
        <w:t xml:space="preserve">AMGN closed at</w:t>
      </w:r>
      <w:r>
        <w:t xml:space="preserve"> </w:t>
      </w:r>
      <w:r>
        <w:rPr>
          <w:b/>
          <w:bCs/>
        </w:rPr>
        <w:t xml:space="preserve">$378.91 on August 3</w:t>
      </w:r>
      <w:r>
        <w:t xml:space="preserve">, up about</w:t>
      </w:r>
      <w:r>
        <w:t xml:space="preserve"> </w:t>
      </w:r>
      <w:r>
        <w:rPr>
          <w:b/>
          <w:bCs/>
        </w:rPr>
        <w:t xml:space="preserve">15.8% year to date</w:t>
      </w:r>
      <w:r>
        <w:t xml:space="preserve">, ahead of the S&amp;P 500’s roughly 11.1% gain and the Health Care Select Sector SPDR’s roughly 4.8% gain. The shares had reached $393.10 on July 28 before pulling back about 3.6%, suggesting solid expectations but not necessarily an extreme pre-print setup.</w:t>
      </w:r>
    </w:p>
    <w:p>
      <w:r>
        <w:pict>
          <v:rect style="width:0;height:1.5pt" o:hralign="center" o:hrstd="t" o:hr="t"/>
        </w:pict>
      </w:r>
    </w:p>
    <w:bookmarkEnd w:id="9"/>
    <w:bookmarkStart w:id="14" w:name="what-matters-most-this-quarter"/>
    <w:p>
      <w:pPr>
        <w:pStyle w:val="Heading2"/>
      </w:pPr>
      <w:r>
        <w:t xml:space="preserve">What matters most this quarter</w:t>
      </w:r>
    </w:p>
    <w:bookmarkStart w:id="10" w:name="X26c8cbe39dcc098e8f9dce2163b13841783df65"/>
    <w:p>
      <w:pPr>
        <w:pStyle w:val="Heading3"/>
      </w:pPr>
      <w:r>
        <w:t xml:space="preserve">1. Can the growth portfolio fund the patent-cliff transition?</w:t>
      </w:r>
    </w:p>
    <w:p>
      <w:pPr>
        <w:pStyle w:val="FirstParagraph"/>
      </w:pPr>
      <w:r>
        <w:t xml:space="preserve">Q1 showed strong underlying momentum across Amgen’s newer and expanding franchises: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Product / portfolio</w:t>
            </w:r>
          </w:p>
        </w:tc>
        <w:tc>
          <w:tcPr/>
          <w:p>
            <w:pPr>
              <w:pStyle w:val="Compact"/>
              <w:jc w:val="right"/>
            </w:pPr>
            <w:r>
              <w:t xml:space="preserve">Q2 2025 sales</w:t>
            </w:r>
          </w:p>
        </w:tc>
        <w:tc>
          <w:tcPr/>
          <w:p>
            <w:pPr>
              <w:pStyle w:val="Compact"/>
              <w:jc w:val="right"/>
            </w:pPr>
            <w:r>
              <w:t xml:space="preserve">Q1 2026 sales</w:t>
            </w:r>
          </w:p>
        </w:tc>
        <w:tc>
          <w:tcPr/>
          <w:p>
            <w:pPr>
              <w:pStyle w:val="Compact"/>
            </w:pPr>
            <w:r>
              <w:t xml:space="preserve">What to watch in Q2</w:t>
            </w:r>
          </w:p>
        </w:tc>
      </w:tr>
      <w:tr>
        <w:tc>
          <w:tcPr/>
          <w:p>
            <w:pPr>
              <w:pStyle w:val="Compact"/>
            </w:pPr>
            <w:r>
              <w:rPr>
                <w:b/>
                <w:bCs/>
              </w:rPr>
              <w:t xml:space="preserve">Repatha</w:t>
            </w:r>
          </w:p>
        </w:tc>
        <w:tc>
          <w:tcPr/>
          <w:p>
            <w:pPr>
              <w:pStyle w:val="Compact"/>
              <w:jc w:val="right"/>
            </w:pPr>
            <w:r>
              <w:t xml:space="preserve">$696M</w:t>
            </w:r>
          </w:p>
        </w:tc>
        <w:tc>
          <w:tcPr/>
          <w:p>
            <w:pPr>
              <w:pStyle w:val="Compact"/>
              <w:jc w:val="right"/>
            </w:pPr>
            <w:r>
              <w:t xml:space="preserve">$876M</w:t>
            </w:r>
          </w:p>
        </w:tc>
        <w:tc>
          <w:tcPr/>
          <w:p>
            <w:pPr>
              <w:pStyle w:val="Compact"/>
            </w:pPr>
            <w:r>
              <w:t xml:space="preserve">Primary-prevention adoption, access, and net price</w:t>
            </w:r>
          </w:p>
        </w:tc>
      </w:tr>
      <w:tr>
        <w:tc>
          <w:tcPr/>
          <w:p>
            <w:pPr>
              <w:pStyle w:val="Compact"/>
            </w:pPr>
            <w:r>
              <w:rPr>
                <w:b/>
                <w:bCs/>
              </w:rPr>
              <w:t xml:space="preserve">EVENITY</w:t>
            </w:r>
          </w:p>
        </w:tc>
        <w:tc>
          <w:tcPr/>
          <w:p>
            <w:pPr>
              <w:pStyle w:val="Compact"/>
              <w:jc w:val="right"/>
            </w:pPr>
            <w:r>
              <w:t xml:space="preserve">$518M</w:t>
            </w:r>
          </w:p>
        </w:tc>
        <w:tc>
          <w:tcPr/>
          <w:p>
            <w:pPr>
              <w:pStyle w:val="Compact"/>
              <w:jc w:val="right"/>
            </w:pPr>
            <w:r>
              <w:t xml:space="preserve">$562M</w:t>
            </w:r>
          </w:p>
        </w:tc>
        <w:tc>
          <w:tcPr/>
          <w:p>
            <w:pPr>
              <w:pStyle w:val="Compact"/>
            </w:pPr>
            <w:r>
              <w:t xml:space="preserve">U.S. demand and international durability</w:t>
            </w:r>
          </w:p>
        </w:tc>
      </w:tr>
      <w:tr>
        <w:tc>
          <w:tcPr/>
          <w:p>
            <w:pPr>
              <w:pStyle w:val="Compact"/>
            </w:pPr>
            <w:r>
              <w:rPr>
                <w:b/>
                <w:bCs/>
              </w:rPr>
              <w:t xml:space="preserve">UPLIZNA</w:t>
            </w:r>
          </w:p>
        </w:tc>
        <w:tc>
          <w:tcPr/>
          <w:p>
            <w:pPr>
              <w:pStyle w:val="Compact"/>
              <w:jc w:val="right"/>
            </w:pPr>
            <w:r>
              <w:t xml:space="preserve">$176M</w:t>
            </w:r>
          </w:p>
        </w:tc>
        <w:tc>
          <w:tcPr/>
          <w:p>
            <w:pPr>
              <w:pStyle w:val="Compact"/>
              <w:jc w:val="right"/>
            </w:pPr>
            <w:r>
              <w:t xml:space="preserve">$262M</w:t>
            </w:r>
          </w:p>
        </w:tc>
        <w:tc>
          <w:tcPr/>
          <w:p>
            <w:pPr>
              <w:pStyle w:val="Compact"/>
            </w:pPr>
            <w:r>
              <w:t xml:space="preserve">gMG uptake, share gains and indication expansion</w:t>
            </w:r>
          </w:p>
        </w:tc>
      </w:tr>
      <w:tr>
        <w:tc>
          <w:tcPr/>
          <w:p>
            <w:pPr>
              <w:pStyle w:val="Compact"/>
            </w:pPr>
            <w:r>
              <w:rPr>
                <w:b/>
                <w:bCs/>
              </w:rPr>
              <w:t xml:space="preserve">IMDELLTRA</w:t>
            </w:r>
          </w:p>
        </w:tc>
        <w:tc>
          <w:tcPr/>
          <w:p>
            <w:pPr>
              <w:pStyle w:val="Compact"/>
              <w:jc w:val="right"/>
            </w:pPr>
            <w:r>
              <w:t xml:space="preserve">$134M</w:t>
            </w:r>
          </w:p>
        </w:tc>
        <w:tc>
          <w:tcPr/>
          <w:p>
            <w:pPr>
              <w:pStyle w:val="Compact"/>
              <w:jc w:val="right"/>
            </w:pPr>
            <w:r>
              <w:t xml:space="preserve">$258M</w:t>
            </w:r>
          </w:p>
        </w:tc>
        <w:tc>
          <w:tcPr/>
          <w:p>
            <w:pPr>
              <w:pStyle w:val="Compact"/>
            </w:pPr>
            <w:r>
              <w:t xml:space="preserve">Community-oncology adoption and launch trajectory</w:t>
            </w:r>
          </w:p>
        </w:tc>
      </w:tr>
      <w:tr>
        <w:tc>
          <w:tcPr/>
          <w:p>
            <w:pPr>
              <w:pStyle w:val="Compact"/>
            </w:pPr>
            <w:r>
              <w:rPr>
                <w:b/>
                <w:bCs/>
              </w:rPr>
              <w:t xml:space="preserve">PAVBLU</w:t>
            </w:r>
          </w:p>
        </w:tc>
        <w:tc>
          <w:tcPr/>
          <w:p>
            <w:pPr>
              <w:pStyle w:val="Compact"/>
              <w:jc w:val="right"/>
            </w:pPr>
            <w:r>
              <w:t xml:space="preserve">$130M</w:t>
            </w:r>
          </w:p>
        </w:tc>
        <w:tc>
          <w:tcPr/>
          <w:p>
            <w:pPr>
              <w:pStyle w:val="Compact"/>
              <w:jc w:val="right"/>
            </w:pPr>
            <w:r>
              <w:t xml:space="preserve">$280M</w:t>
            </w:r>
          </w:p>
        </w:tc>
        <w:tc>
          <w:tcPr/>
          <w:p>
            <w:pPr>
              <w:pStyle w:val="Compact"/>
            </w:pPr>
            <w:r>
              <w:t xml:space="preserve">Volume growth and competitive biosimilar dynamics</w:t>
            </w:r>
          </w:p>
        </w:tc>
      </w:tr>
      <w:tr>
        <w:tc>
          <w:tcPr/>
          <w:p>
            <w:pPr>
              <w:pStyle w:val="Compact"/>
            </w:pPr>
            <w:r>
              <w:rPr>
                <w:b/>
                <w:bCs/>
              </w:rPr>
              <w:t xml:space="preserve">TEPEZZA</w:t>
            </w:r>
          </w:p>
        </w:tc>
        <w:tc>
          <w:tcPr/>
          <w:p>
            <w:pPr>
              <w:pStyle w:val="Compact"/>
              <w:jc w:val="right"/>
            </w:pPr>
            <w:r>
              <w:t xml:space="preserve">$505M</w:t>
            </w:r>
          </w:p>
        </w:tc>
        <w:tc>
          <w:tcPr/>
          <w:p>
            <w:pPr>
              <w:pStyle w:val="Compact"/>
              <w:jc w:val="right"/>
            </w:pPr>
            <w:r>
              <w:t xml:space="preserve">$490M</w:t>
            </w:r>
          </w:p>
        </w:tc>
        <w:tc>
          <w:tcPr/>
          <w:p>
            <w:pPr>
              <w:pStyle w:val="Compact"/>
            </w:pPr>
            <w:r>
              <w:t xml:space="preserve">Demand normalization after Q1 inventory benefit</w:t>
            </w:r>
          </w:p>
        </w:tc>
      </w:tr>
    </w:tbl>
    <w:p>
      <w:pPr>
        <w:pStyle w:val="BodyText"/>
      </w:pPr>
      <w:r>
        <w:t xml:space="preserve">The bull case is that Repatha, rare disease, innovative oncology and biosimilars have reached sufficient scale to offset legacy-brand declines. In Q1, management highlighted 16 brands with double-digit growth and 17 products annualizing above $1 billion.</w:t>
      </w:r>
    </w:p>
    <w:p>
      <w:pPr>
        <w:pStyle w:val="BodyText"/>
      </w:pPr>
      <w:r>
        <w:t xml:space="preserve">The caution is that quarterly comparisons can be distorted by channel inventory, shipment timing, rebates, and launch sequencing. TEPEZZA’s Q1 growth, for example, benefited from higher inventory, while KRYSTEXXA also had an inventory contribution. Investors should prioritize</w:t>
      </w:r>
      <w:r>
        <w:t xml:space="preserve"> </w:t>
      </w:r>
      <w:r>
        <w:rPr>
          <w:b/>
          <w:bCs/>
        </w:rPr>
        <w:t xml:space="preserve">volume and demand commentary</w:t>
      </w:r>
      <w:r>
        <w:t xml:space="preserve"> </w:t>
      </w:r>
      <w:r>
        <w:t xml:space="preserve">over reported sales alone.</w:t>
      </w:r>
    </w:p>
    <w:p>
      <w:r>
        <w:pict>
          <v:rect style="width:0;height:1.5pt" o:hralign="center" o:hrstd="t" o:hr="t"/>
        </w:pict>
      </w:r>
    </w:p>
    <w:bookmarkEnd w:id="10"/>
    <w:bookmarkStart w:id="11" w:name="Xbd7af0f79ebb634b6a02ee28472b835e9917205"/>
    <w:p>
      <w:pPr>
        <w:pStyle w:val="Heading3"/>
      </w:pPr>
      <w:r>
        <w:t xml:space="preserve">2. Prolia/XGEVA erosion remains the central commercial risk</w:t>
      </w:r>
    </w:p>
    <w:p>
      <w:pPr>
        <w:pStyle w:val="FirstParagraph"/>
      </w:pPr>
      <w:r>
        <w:t xml:space="preserve">The key negative swing factor is the denosumab franchise:</w:t>
      </w:r>
    </w:p>
    <w:p>
      <w:pPr>
        <w:pStyle w:val="Compact"/>
        <w:numPr>
          <w:ilvl w:val="0"/>
          <w:numId w:val="1002"/>
        </w:numPr>
      </w:pPr>
      <w:r>
        <w:rPr>
          <w:b/>
          <w:bCs/>
        </w:rPr>
        <w:t xml:space="preserve">Prolia:</w:t>
      </w:r>
      <w:r>
        <w:t xml:space="preserve"> </w:t>
      </w:r>
      <w:r>
        <w:t xml:space="preserve">Q1 2026 sales declined</w:t>
      </w:r>
      <w:r>
        <w:t xml:space="preserve"> </w:t>
      </w:r>
      <w:r>
        <w:rPr>
          <w:b/>
          <w:bCs/>
        </w:rPr>
        <w:t xml:space="preserve">34%</w:t>
      </w:r>
      <w:r>
        <w:t xml:space="preserve"> </w:t>
      </w:r>
      <w:r>
        <w:t xml:space="preserve">year over year to</w:t>
      </w:r>
      <w:r>
        <w:t xml:space="preserve"> </w:t>
      </w:r>
      <w:r>
        <w:rPr>
          <w:b/>
          <w:bCs/>
        </w:rPr>
        <w:t xml:space="preserve">$727 million</w:t>
      </w:r>
      <w:r>
        <w:t xml:space="preserve">.</w:t>
      </w:r>
    </w:p>
    <w:p>
      <w:pPr>
        <w:pStyle w:val="Compact"/>
        <w:numPr>
          <w:ilvl w:val="0"/>
          <w:numId w:val="1002"/>
        </w:numPr>
      </w:pPr>
      <w:r>
        <w:rPr>
          <w:b/>
          <w:bCs/>
        </w:rPr>
        <w:t xml:space="preserve">XGEVA:</w:t>
      </w:r>
      <w:r>
        <w:t xml:space="preserve"> </w:t>
      </w:r>
      <w:r>
        <w:t xml:space="preserve">Q1 2026 sales declined</w:t>
      </w:r>
      <w:r>
        <w:t xml:space="preserve"> </w:t>
      </w:r>
      <w:r>
        <w:rPr>
          <w:b/>
          <w:bCs/>
        </w:rPr>
        <w:t xml:space="preserve">27%</w:t>
      </w:r>
      <w:r>
        <w:t xml:space="preserve"> </w:t>
      </w:r>
      <w:r>
        <w:t xml:space="preserve">to</w:t>
      </w:r>
      <w:r>
        <w:t xml:space="preserve"> </w:t>
      </w:r>
      <w:r>
        <w:rPr>
          <w:b/>
          <w:bCs/>
        </w:rPr>
        <w:t xml:space="preserve">$411 million</w:t>
      </w:r>
      <w:r>
        <w:t xml:space="preserve">.</w:t>
      </w:r>
    </w:p>
    <w:p>
      <w:pPr>
        <w:pStyle w:val="Compact"/>
        <w:numPr>
          <w:ilvl w:val="0"/>
          <w:numId w:val="1002"/>
        </w:numPr>
      </w:pPr>
      <w:r>
        <w:t xml:space="preserve">Management expects</w:t>
      </w:r>
      <w:r>
        <w:t xml:space="preserve"> </w:t>
      </w:r>
      <w:r>
        <w:rPr>
          <w:b/>
          <w:bCs/>
        </w:rPr>
        <w:t xml:space="preserve">accelerating sales erosion through 2026</w:t>
      </w:r>
      <w:r>
        <w:t xml:space="preserve"> </w:t>
      </w:r>
      <w:r>
        <w:t xml:space="preserve">as multiple biosimilars launch globally.</w:t>
      </w:r>
    </w:p>
    <w:p>
      <w:pPr>
        <w:pStyle w:val="FirstParagraph"/>
      </w:pPr>
      <w:r>
        <w:t xml:space="preserve">For perspective, the Q2 2025 comparison base was still substantial: Prolia generated</w:t>
      </w:r>
      <w:r>
        <w:t xml:space="preserve"> </w:t>
      </w:r>
      <m:oMath>
        <m:r>
          <m:t>1.12</m:t>
        </m:r>
        <m:r>
          <m:t>b</m:t>
        </m:r>
        <m:r>
          <m:t>i</m:t>
        </m:r>
        <m:r>
          <m:t>l</m:t>
        </m:r>
        <m:r>
          <m:t>l</m:t>
        </m:r>
        <m:r>
          <m:t>i</m:t>
        </m:r>
        <m:r>
          <m:t>o</m:t>
        </m:r>
        <m:r>
          <m:t>n</m:t>
        </m:r>
        <m:r>
          <m:rPr>
            <m:sty m:val="p"/>
          </m:rPr>
          <m:t>*</m:t>
        </m:r>
        <m:r>
          <m:rPr>
            <m:sty m:val="p"/>
          </m:rPr>
          <m:t>*</m:t>
        </m:r>
        <m:r>
          <m:t>a</m:t>
        </m:r>
        <m:r>
          <m:t>n</m:t>
        </m:r>
        <m:r>
          <m:t>d</m:t>
        </m:r>
        <m:r>
          <m:t>X</m:t>
        </m:r>
        <m:r>
          <m:t>G</m:t>
        </m:r>
        <m:r>
          <m:t>E</m:t>
        </m:r>
        <m:r>
          <m:t>V</m:t>
        </m:r>
        <m:r>
          <m:t>A</m:t>
        </m:r>
        <m:r>
          <m:rPr>
            <m:sty m:val="p"/>
          </m:rPr>
          <m:t>*</m:t>
        </m:r>
        <m:r>
          <m:rPr>
            <m:sty m:val="p"/>
          </m:rPr>
          <m:t>*</m:t>
        </m:r>
      </m:oMath>
      <w:r>
        <w:rPr>
          <w:b/>
          <w:bCs/>
        </w:rPr>
        <w:t xml:space="preserve">532 million</w:t>
      </w:r>
      <w:r>
        <w:t xml:space="preserve">. The speed of erosion—and management’s confidence in the rest-of-year trajectory—could matter more for valuation than modest upside in any one growth brand.</w:t>
      </w:r>
    </w:p>
    <w:p>
      <w:pPr>
        <w:pStyle w:val="BodyText"/>
      </w:pPr>
      <w:r>
        <w:rPr>
          <w:b/>
          <w:bCs/>
        </w:rPr>
        <w:t xml:space="preserve">Investor question:</w:t>
      </w:r>
      <w:r>
        <w:t xml:space="preserve"> </w:t>
      </w:r>
      <w:r>
        <w:t xml:space="preserve">Is the franchise decline tracking management’s expected curve, or is competition and price pressure progressing faster than anticipated?</w:t>
      </w:r>
    </w:p>
    <w:p>
      <w:r>
        <w:pict>
          <v:rect style="width:0;height:1.5pt" o:hralign="center" o:hrstd="t" o:hr="t"/>
        </w:pict>
      </w:r>
    </w:p>
    <w:bookmarkEnd w:id="11"/>
    <w:bookmarkStart w:id="12" w:name="X55f03f4284ae74d84de0ce6c354108beaa9ccff"/>
    <w:p>
      <w:pPr>
        <w:pStyle w:val="Heading3"/>
      </w:pPr>
      <w:r>
        <w:t xml:space="preserve">3. Repatha is becoming Amgen’s most important large-market growth engine</w:t>
      </w:r>
    </w:p>
    <w:p>
      <w:pPr>
        <w:pStyle w:val="FirstParagraph"/>
      </w:pPr>
      <w:r>
        <w:t xml:space="preserve">Repatha is the commercial bright spot. In Q1, sales rose</w:t>
      </w:r>
      <w:r>
        <w:t xml:space="preserve"> </w:t>
      </w:r>
      <w:r>
        <w:rPr>
          <w:b/>
          <w:bCs/>
        </w:rPr>
        <w:t xml:space="preserve">34%</w:t>
      </w:r>
      <w:r>
        <w:t xml:space="preserve"> </w:t>
      </w:r>
      <w:r>
        <w:t xml:space="preserve">to</w:t>
      </w:r>
      <w:r>
        <w:t xml:space="preserve"> </w:t>
      </w:r>
      <w:r>
        <w:rPr>
          <w:b/>
          <w:bCs/>
        </w:rPr>
        <w:t xml:space="preserve">$876 million</w:t>
      </w:r>
      <w:r>
        <w:t xml:space="preserve">, supported by volume growth and favorable changes in estimated sales deductions. The company has emphasized:</w:t>
      </w:r>
    </w:p>
    <w:p>
      <w:pPr>
        <w:pStyle w:val="Compact"/>
        <w:numPr>
          <w:ilvl w:val="0"/>
          <w:numId w:val="1003"/>
        </w:numPr>
      </w:pPr>
      <w:r>
        <w:t xml:space="preserve">broader use in high-risk primary prevention;</w:t>
      </w:r>
    </w:p>
    <w:p>
      <w:pPr>
        <w:pStyle w:val="Compact"/>
        <w:numPr>
          <w:ilvl w:val="0"/>
          <w:numId w:val="1003"/>
        </w:numPr>
      </w:pPr>
      <w:r>
        <w:t xml:space="preserve">supportive cardiovascular-outcomes evidence from VESALIUS-CV;</w:t>
      </w:r>
    </w:p>
    <w:p>
      <w:pPr>
        <w:pStyle w:val="Compact"/>
        <w:numPr>
          <w:ilvl w:val="0"/>
          <w:numId w:val="1003"/>
        </w:numPr>
      </w:pPr>
      <w:r>
        <w:t xml:space="preserve">expansion in primary care;</w:t>
      </w:r>
    </w:p>
    <w:p>
      <w:pPr>
        <w:pStyle w:val="Compact"/>
        <w:numPr>
          <w:ilvl w:val="0"/>
          <w:numId w:val="1003"/>
        </w:numPr>
      </w:pPr>
      <w:r>
        <w:t xml:space="preserve">a direct-pay program, though management characterized its current contribution as small relative to total Repatha sales.</w:t>
      </w:r>
    </w:p>
    <w:p>
      <w:pPr>
        <w:pStyle w:val="FirstParagraph"/>
      </w:pPr>
      <w:r>
        <w:t xml:space="preserve">The most important datapoints on the call will be new-to-brand prescription growth, payer access, persistence, net pricing, and whether primary-care expansion is translating into durable demand rather than a short-term promotional lift.</w:t>
      </w:r>
    </w:p>
    <w:p>
      <w:r>
        <w:pict>
          <v:rect style="width:0;height:1.5pt" o:hralign="center" o:hrstd="t" o:hr="t"/>
        </w:pict>
      </w:r>
    </w:p>
    <w:bookmarkEnd w:id="12"/>
    <w:bookmarkStart w:id="13" w:name="X95916c358aafe88bf2fa1fae27dc7f14b0ab545"/>
    <w:p>
      <w:pPr>
        <w:pStyle w:val="Heading3"/>
      </w:pPr>
      <w:r>
        <w:t xml:space="preserve">4. IMDELLTRA and UPLIZNA need to validate blockbuster potential</w:t>
      </w:r>
    </w:p>
    <w:p>
      <w:pPr>
        <w:pStyle w:val="FirstParagraph"/>
      </w:pPr>
      <w:r>
        <w:rPr>
          <w:b/>
          <w:bCs/>
        </w:rPr>
        <w:t xml:space="preserve">IMDELLTRA</w:t>
      </w:r>
      <w:r>
        <w:t xml:space="preserve"> </w:t>
      </w:r>
      <w:r>
        <w:t xml:space="preserve">delivered $258 million in Q1, up sharply from $134 million in Q2 2025. Management has positioned it as a standard of care in second-line extensive-stage small-cell lung cancer and has emphasized increasing use in community oncology. Q2 should show whether operational barriers—site readiness, monitoring, and administration logistics—continue to diminish.</w:t>
      </w:r>
    </w:p>
    <w:p>
      <w:pPr>
        <w:pStyle w:val="BodyText"/>
      </w:pPr>
      <w:r>
        <w:rPr>
          <w:b/>
          <w:bCs/>
        </w:rPr>
        <w:t xml:space="preserve">UPLIZNA</w:t>
      </w:r>
      <w:r>
        <w:t xml:space="preserve"> </w:t>
      </w:r>
      <w:r>
        <w:t xml:space="preserve">is another important contributor, with Q1 sales up 188% year over year to $262 million. Adoption in generalized myasthenia gravis is the principal driver, while broader autoimmune development provides additional optionality. Continued execution here is important because UPLIZNA helps diversify Amgen’s rare-disease business beyond TEPEZZA and KRYSTEXXA.</w:t>
      </w:r>
    </w:p>
    <w:p>
      <w:r>
        <w:pict>
          <v:rect style="width:0;height:1.5pt" o:hralign="center" o:hrstd="t" o:hr="t"/>
        </w:pict>
      </w:r>
    </w:p>
    <w:bookmarkEnd w:id="13"/>
    <w:bookmarkEnd w:id="14"/>
    <w:bookmarkStart w:id="15" w:name="earnings-guidance-and-margin-framework"/>
    <w:p>
      <w:pPr>
        <w:pStyle w:val="Heading2"/>
      </w:pPr>
      <w:r>
        <w:t xml:space="preserve">Earnings, guidance, and margin framework</w:t>
      </w:r>
    </w:p>
    <w:p>
      <w:pPr>
        <w:pStyle w:val="FirstParagraph"/>
      </w:pPr>
      <w:r>
        <w:t xml:space="preserve">Amgen’s current 2026 outlook calls for:</w:t>
      </w:r>
    </w:p>
    <w:p>
      <w:pPr>
        <w:pStyle w:val="Compact"/>
        <w:numPr>
          <w:ilvl w:val="0"/>
          <w:numId w:val="1004"/>
        </w:numPr>
      </w:pPr>
      <w:r>
        <w:rPr>
          <w:b/>
          <w:bCs/>
        </w:rPr>
        <w:t xml:space="preserve">Revenue:</w:t>
      </w:r>
      <w:r>
        <w:t xml:space="preserve"> </w:t>
      </w:r>
      <m:oMath>
        <m:r>
          <m:t>37.1</m:t>
        </m:r>
        <m:r>
          <m:t>B</m:t>
        </m:r>
        <m:r>
          <m:rPr>
            <m:sty m:val="p"/>
          </m:rPr>
          <m:t>–</m:t>
        </m:r>
      </m:oMath>
      <w:r>
        <w:rPr>
          <w:b/>
          <w:bCs/>
        </w:rPr>
        <w:t xml:space="preserve">38.5B</w:t>
      </w:r>
    </w:p>
    <w:p>
      <w:pPr>
        <w:pStyle w:val="Compact"/>
        <w:numPr>
          <w:ilvl w:val="0"/>
          <w:numId w:val="1004"/>
        </w:numPr>
      </w:pPr>
      <w:r>
        <w:rPr>
          <w:b/>
          <w:bCs/>
        </w:rPr>
        <w:t xml:space="preserve">Non-GAAP EPS:</w:t>
      </w:r>
      <w:r>
        <w:t xml:space="preserve"> </w:t>
      </w:r>
      <m:oMath>
        <m:r>
          <m:t>21.70</m:t>
        </m:r>
        <m:r>
          <m:rPr>
            <m:sty m:val="p"/>
          </m:rPr>
          <m:t>–</m:t>
        </m:r>
      </m:oMath>
      <w:r>
        <w:rPr>
          <w:b/>
          <w:bCs/>
        </w:rPr>
        <w:t xml:space="preserve">23.10</w:t>
      </w:r>
    </w:p>
    <w:p>
      <w:pPr>
        <w:pStyle w:val="Compact"/>
        <w:numPr>
          <w:ilvl w:val="0"/>
          <w:numId w:val="1004"/>
        </w:numPr>
      </w:pPr>
      <w:r>
        <w:rPr>
          <w:b/>
          <w:bCs/>
        </w:rPr>
        <w:t xml:space="preserve">Capital expenditures:</w:t>
      </w:r>
      <w:r>
        <w:t xml:space="preserve"> </w:t>
      </w:r>
      <w:r>
        <w:t xml:space="preserve">approximately</w:t>
      </w:r>
      <w:r>
        <w:t xml:space="preserve"> </w:t>
      </w:r>
      <w:r>
        <w:rPr>
          <w:b/>
          <w:bCs/>
        </w:rPr>
        <w:t xml:space="preserve">$2.6B</w:t>
      </w:r>
    </w:p>
    <w:p>
      <w:pPr>
        <w:pStyle w:val="Compact"/>
        <w:numPr>
          <w:ilvl w:val="0"/>
          <w:numId w:val="1004"/>
        </w:numPr>
      </w:pPr>
      <w:r>
        <w:rPr>
          <w:b/>
          <w:bCs/>
        </w:rPr>
        <w:t xml:space="preserve">Share repurchases:</w:t>
      </w:r>
      <w:r>
        <w:t xml:space="preserve"> </w:t>
      </w:r>
      <w:r>
        <w:t xml:space="preserve">not to exceed</w:t>
      </w:r>
      <w:r>
        <w:t xml:space="preserve"> </w:t>
      </w:r>
      <w:r>
        <w:rPr>
          <w:b/>
          <w:bCs/>
        </w:rPr>
        <w:t xml:space="preserve">$3.0B</w:t>
      </w:r>
    </w:p>
    <w:p>
      <w:pPr>
        <w:pStyle w:val="FirstParagraph"/>
      </w:pPr>
      <w:r>
        <w:t xml:space="preserve">The respective guidance midpoints are</w:t>
      </w:r>
      <w:r>
        <w:t xml:space="preserve"> </w:t>
      </w:r>
      <m:oMath>
        <m:r>
          <m:t>37.8</m:t>
        </m:r>
        <m:r>
          <m:t>b</m:t>
        </m:r>
        <m:r>
          <m:t>i</m:t>
        </m:r>
        <m:r>
          <m:t>l</m:t>
        </m:r>
        <m:r>
          <m:t>l</m:t>
        </m:r>
        <m:r>
          <m:t>i</m:t>
        </m:r>
        <m:r>
          <m:t>o</m:t>
        </m:r>
        <m:r>
          <m:t>n</m:t>
        </m:r>
        <m:r>
          <m:rPr>
            <m:sty m:val="p"/>
          </m:rPr>
          <m:t>*</m:t>
        </m:r>
        <m:r>
          <m:rPr>
            <m:sty m:val="p"/>
          </m:rPr>
          <m:t>*</m:t>
        </m:r>
        <m:r>
          <m:t>o</m:t>
        </m:r>
        <m:r>
          <m:t>f</m:t>
        </m:r>
        <m:r>
          <m:t>r</m:t>
        </m:r>
        <m:r>
          <m:t>e</m:t>
        </m:r>
        <m:r>
          <m:t>v</m:t>
        </m:r>
        <m:r>
          <m:t>e</m:t>
        </m:r>
        <m:r>
          <m:t>n</m:t>
        </m:r>
        <m:r>
          <m:t>u</m:t>
        </m:r>
        <m:r>
          <m:t>e</m:t>
        </m:r>
        <m:r>
          <m:t>a</m:t>
        </m:r>
        <m:r>
          <m:t>n</m:t>
        </m:r>
        <m:r>
          <m:t>d</m:t>
        </m:r>
        <m:r>
          <m:rPr>
            <m:sty m:val="p"/>
          </m:rPr>
          <m:t>*</m:t>
        </m:r>
        <m:r>
          <m:rPr>
            <m:sty m:val="p"/>
          </m:rPr>
          <m:t>*</m:t>
        </m:r>
      </m:oMath>
      <w:r>
        <w:rPr>
          <w:b/>
          <w:bCs/>
        </w:rPr>
        <w:t xml:space="preserve">22.40</w:t>
      </w:r>
      <w:r>
        <w:t xml:space="preserve"> </w:t>
      </w:r>
      <w:r>
        <w:t xml:space="preserve">of non-GAAP EPS.</w:t>
      </w:r>
    </w:p>
    <w:p>
      <w:pPr>
        <w:pStyle w:val="BodyText"/>
      </w:pPr>
      <w:r>
        <w:t xml:space="preserve">In Q1, Amgen generated:</w:t>
      </w:r>
    </w:p>
    <w:p>
      <w:pPr>
        <w:pStyle w:val="Compact"/>
        <w:numPr>
          <w:ilvl w:val="0"/>
          <w:numId w:val="1005"/>
        </w:numPr>
      </w:pPr>
      <w:r>
        <w:rPr>
          <w:b/>
          <w:bCs/>
        </w:rPr>
        <w:t xml:space="preserve">$8.62B</w:t>
      </w:r>
      <w:r>
        <w:t xml:space="preserve"> </w:t>
      </w:r>
      <w:r>
        <w:t xml:space="preserve">of revenue, up 6% year over year;</w:t>
      </w:r>
    </w:p>
    <w:p>
      <w:pPr>
        <w:pStyle w:val="Compact"/>
        <w:numPr>
          <w:ilvl w:val="0"/>
          <w:numId w:val="1005"/>
        </w:numPr>
      </w:pPr>
      <w:r>
        <w:rPr>
          <w:b/>
          <w:bCs/>
        </w:rPr>
        <w:t xml:space="preserve">$5.15</w:t>
      </w:r>
      <w:r>
        <w:t xml:space="preserve"> </w:t>
      </w:r>
      <w:r>
        <w:t xml:space="preserve">in non-GAAP EPS, up 5%;</w:t>
      </w:r>
    </w:p>
    <w:p>
      <w:pPr>
        <w:pStyle w:val="Compact"/>
        <w:numPr>
          <w:ilvl w:val="0"/>
          <w:numId w:val="1005"/>
        </w:numPr>
      </w:pPr>
      <w:r>
        <w:rPr>
          <w:b/>
          <w:bCs/>
        </w:rPr>
        <w:t xml:space="preserve">45.3%</w:t>
      </w:r>
      <w:r>
        <w:t xml:space="preserve"> </w:t>
      </w:r>
      <w:r>
        <w:t xml:space="preserve">non-GAAP operating margin;</w:t>
      </w:r>
    </w:p>
    <w:p>
      <w:pPr>
        <w:pStyle w:val="Compact"/>
        <w:numPr>
          <w:ilvl w:val="0"/>
          <w:numId w:val="1005"/>
        </w:numPr>
      </w:pPr>
      <w:r>
        <w:rPr>
          <w:b/>
          <w:bCs/>
        </w:rPr>
        <w:t xml:space="preserve">$1.5B</w:t>
      </w:r>
      <w:r>
        <w:t xml:space="preserve"> </w:t>
      </w:r>
      <w:r>
        <w:t xml:space="preserve">in free cash flow.</w:t>
      </w:r>
    </w:p>
    <w:p>
      <w:pPr>
        <w:pStyle w:val="FirstParagraph"/>
      </w:pPr>
      <w:r>
        <w:t xml:space="preserve">Management had said Q2 non-GAAP operating margin should be broadly in line with Q1. That makes margin performance a useful test of whether growing royalty/profit-share expense, mix shifts, and heavy late-stage R&amp;D investment—especially around MariTide—are staying within plan.</w:t>
      </w:r>
    </w:p>
    <w:p>
      <w:pPr>
        <w:pStyle w:val="BodyText"/>
      </w:pPr>
      <w:r>
        <w:t xml:space="preserve">The Q2 2025 comparison is not easy: Amgen reported</w:t>
      </w:r>
      <w:r>
        <w:t xml:space="preserve"> </w:t>
      </w:r>
      <m:oMath>
        <m:r>
          <m:t>9.18</m:t>
        </m:r>
        <m:r>
          <m:t>B</m:t>
        </m:r>
        <m:r>
          <m:rPr>
            <m:sty m:val="p"/>
          </m:rPr>
          <m:t>*</m:t>
        </m:r>
        <m:r>
          <m:rPr>
            <m:sty m:val="p"/>
          </m:rPr>
          <m:t>*</m:t>
        </m:r>
        <m:r>
          <m:t>o</m:t>
        </m:r>
        <m:r>
          <m:t>f</m:t>
        </m:r>
        <m:r>
          <m:t>r</m:t>
        </m:r>
        <m:r>
          <m:t>e</m:t>
        </m:r>
        <m:r>
          <m:t>v</m:t>
        </m:r>
        <m:r>
          <m:t>e</m:t>
        </m:r>
        <m:r>
          <m:t>n</m:t>
        </m:r>
        <m:r>
          <m:t>u</m:t>
        </m:r>
        <m:r>
          <m:t>e</m:t>
        </m:r>
        <m:r>
          <m:rPr>
            <m:sty m:val="p"/>
          </m:rPr>
          <m:t>,</m:t>
        </m:r>
        <m:r>
          <m:rPr>
            <m:sty m:val="p"/>
          </m:rPr>
          <m:t>*</m:t>
        </m:r>
        <m:r>
          <m:rPr>
            <m:sty m:val="p"/>
          </m:rPr>
          <m:t>*</m:t>
        </m:r>
      </m:oMath>
      <w:r>
        <w:rPr>
          <w:b/>
          <w:bCs/>
        </w:rPr>
        <w:t xml:space="preserve">6.02</w:t>
      </w:r>
      <w:r>
        <w:t xml:space="preserve"> </w:t>
      </w:r>
      <w:r>
        <w:t xml:space="preserve">of non-GAAP EPS, and a</w:t>
      </w:r>
      <w:r>
        <w:t xml:space="preserve"> </w:t>
      </w:r>
      <w:r>
        <w:rPr>
          <w:b/>
          <w:bCs/>
        </w:rPr>
        <w:t xml:space="preserve">48.9%</w:t>
      </w:r>
      <w:r>
        <w:t xml:space="preserve"> </w:t>
      </w:r>
      <w:r>
        <w:t xml:space="preserve">non-GAAP operating margin. The lower expected 2026 margin framework reflects an intentional choice to invest in the pipeline, but investors will want confirmation that this is a controlled investment cycle rather than a deteriorating earnings algorithm.</w:t>
      </w:r>
    </w:p>
    <w:p>
      <w:r>
        <w:pict>
          <v:rect style="width:0;height:1.5pt" o:hralign="center" o:hrstd="t" o:hr="t"/>
        </w:pict>
      </w:r>
    </w:p>
    <w:bookmarkEnd w:id="15"/>
    <w:bookmarkStart w:id="18" w:name="Xca1d23b485622e6034236b69db8def86bd2011a"/>
    <w:p>
      <w:pPr>
        <w:pStyle w:val="Heading2"/>
      </w:pPr>
      <w:r>
        <w:t xml:space="preserve">Pipeline: strategically important, but likely secondary to commercial execution</w:t>
      </w:r>
    </w:p>
    <w:bookmarkStart w:id="16" w:name="X4b884dcde1b90532aa8fbac71f1595e6804ebfb"/>
    <w:p>
      <w:pPr>
        <w:pStyle w:val="Heading3"/>
      </w:pPr>
      <w:r>
        <w:t xml:space="preserve">MariTide: the long-duration obesity opportunity</w:t>
      </w:r>
    </w:p>
    <w:p>
      <w:pPr>
        <w:pStyle w:val="FirstParagraph"/>
      </w:pPr>
      <w:r>
        <w:t xml:space="preserve">MariTide remains the largest long-term source of upside and uncertainty. The Phase 3 program is ongoing across weight management, cardiovascular outcomes, heart failure, obstructive sleep apnea, maintenance, and switching from weekly GLP-1/GIP therapies.</w:t>
      </w:r>
    </w:p>
    <w:p>
      <w:pPr>
        <w:pStyle w:val="BodyText"/>
      </w:pPr>
      <w:r>
        <w:t xml:space="preserve">Management has emphasized two differentiators:</w:t>
      </w:r>
    </w:p>
    <w:p>
      <w:pPr>
        <w:pStyle w:val="Compact"/>
        <w:numPr>
          <w:ilvl w:val="0"/>
          <w:numId w:val="1006"/>
        </w:numPr>
      </w:pPr>
      <w:r>
        <w:t xml:space="preserve">potential for</w:t>
      </w:r>
      <w:r>
        <w:t xml:space="preserve"> </w:t>
      </w:r>
      <w:r>
        <w:rPr>
          <w:b/>
          <w:bCs/>
        </w:rPr>
        <w:t xml:space="preserve">monthly or less-frequent dosing</w:t>
      </w:r>
      <w:r>
        <w:t xml:space="preserve">, including every-eight-week and quarterly maintenance strategies;</w:t>
      </w:r>
    </w:p>
    <w:p>
      <w:pPr>
        <w:pStyle w:val="Compact"/>
        <w:numPr>
          <w:ilvl w:val="0"/>
          <w:numId w:val="1006"/>
        </w:numPr>
      </w:pPr>
      <w:r>
        <w:t xml:space="preserve">improved gastrointestinal tolerability through</w:t>
      </w:r>
      <w:r>
        <w:t xml:space="preserve"> </w:t>
      </w:r>
      <w:r>
        <w:rPr>
          <w:b/>
          <w:bCs/>
        </w:rPr>
        <w:t xml:space="preserve">three-step dose escalation</w:t>
      </w:r>
      <w:r>
        <w:t xml:space="preserve">.</w:t>
      </w:r>
    </w:p>
    <w:p>
      <w:pPr>
        <w:pStyle w:val="FirstParagraph"/>
      </w:pPr>
      <w:r>
        <w:t xml:space="preserve">The immediate earnings relevance is expense rather than revenue: Amgen is spending heavily to advance MariTide and build manufacturing capacity. Investors should listen for enrollment progress, timing confirmation, manufacturing readiness, and any updated view on the ultimate commercial positioning versus established obesity competitors.</w:t>
      </w:r>
    </w:p>
    <w:bookmarkEnd w:id="16"/>
    <w:bookmarkStart w:id="17" w:name="other-pipeline-watch-items"/>
    <w:p>
      <w:pPr>
        <w:pStyle w:val="Heading3"/>
      </w:pPr>
      <w:r>
        <w:t xml:space="preserve">Other pipeline watch items</w:t>
      </w:r>
    </w:p>
    <w:p>
      <w:pPr>
        <w:pStyle w:val="Compact"/>
        <w:numPr>
          <w:ilvl w:val="0"/>
          <w:numId w:val="1007"/>
        </w:numPr>
      </w:pPr>
      <w:r>
        <w:rPr>
          <w:b/>
          <w:bCs/>
        </w:rPr>
        <w:t xml:space="preserve">Dazodalibep:</w:t>
      </w:r>
      <w:r>
        <w:t xml:space="preserve"> </w:t>
      </w:r>
      <w:r>
        <w:t xml:space="preserve">Two Phase 3 Sjögren’s-disease studies are expected to complete in the second half of 2026.</w:t>
      </w:r>
    </w:p>
    <w:p>
      <w:pPr>
        <w:pStyle w:val="Compact"/>
        <w:numPr>
          <w:ilvl w:val="0"/>
          <w:numId w:val="1007"/>
        </w:numPr>
      </w:pPr>
      <w:r>
        <w:rPr>
          <w:b/>
          <w:bCs/>
        </w:rPr>
        <w:t xml:space="preserve">TEZSPIRE:</w:t>
      </w:r>
      <w:r>
        <w:t xml:space="preserve"> </w:t>
      </w:r>
      <w:r>
        <w:t xml:space="preserve">Phase 3 eosinophilic-esophagitis study completion is expected in H2 2026.</w:t>
      </w:r>
    </w:p>
    <w:p>
      <w:pPr>
        <w:pStyle w:val="Compact"/>
        <w:numPr>
          <w:ilvl w:val="0"/>
          <w:numId w:val="1007"/>
        </w:numPr>
      </w:pPr>
      <w:r>
        <w:rPr>
          <w:b/>
          <w:bCs/>
        </w:rPr>
        <w:t xml:space="preserve">Olpasiran:</w:t>
      </w:r>
      <w:r>
        <w:t xml:space="preserve"> </w:t>
      </w:r>
      <w:r>
        <w:t xml:space="preserve">Remains a major long-duration cardiovascular option, with Phase 3 outcomes studies ongoing.</w:t>
      </w:r>
    </w:p>
    <w:p>
      <w:pPr>
        <w:pStyle w:val="Compact"/>
        <w:numPr>
          <w:ilvl w:val="0"/>
          <w:numId w:val="1007"/>
        </w:numPr>
      </w:pPr>
      <w:r>
        <w:rPr>
          <w:b/>
          <w:bCs/>
        </w:rPr>
        <w:t xml:space="preserve">IMDELLTRA:</w:t>
      </w:r>
      <w:r>
        <w:t xml:space="preserve"> </w:t>
      </w:r>
      <w:r>
        <w:t xml:space="preserve">Earlier-line small-cell-lung-cancer studies remain a major medium-term value driver.</w:t>
      </w:r>
    </w:p>
    <w:p>
      <w:pPr>
        <w:pStyle w:val="Compact"/>
        <w:numPr>
          <w:ilvl w:val="0"/>
          <w:numId w:val="1007"/>
        </w:numPr>
      </w:pPr>
      <w:r>
        <w:rPr>
          <w:b/>
          <w:bCs/>
        </w:rPr>
        <w:t xml:space="preserve">Subcutaneous BLINCYTO:</w:t>
      </w:r>
      <w:r>
        <w:t xml:space="preserve"> </w:t>
      </w:r>
      <w:r>
        <w:t xml:space="preserve">Enrollment was paused after inflammatory reactions; management had expected to reopen enrollment after data review and FDA dialogue. Any update is worth monitoring.</w:t>
      </w:r>
    </w:p>
    <w:p>
      <w:pPr>
        <w:pStyle w:val="Compact"/>
        <w:numPr>
          <w:ilvl w:val="0"/>
          <w:numId w:val="1007"/>
        </w:numPr>
      </w:pPr>
      <w:r>
        <w:rPr>
          <w:b/>
          <w:bCs/>
        </w:rPr>
        <w:t xml:space="preserve">AMG 193:</w:t>
      </w:r>
      <w:r>
        <w:t xml:space="preserve"> </w:t>
      </w:r>
      <w:r>
        <w:t xml:space="preserve">Development was discontinued, a reminder that portfolio discipline can include program attrition.</w:t>
      </w:r>
    </w:p>
    <w:p>
      <w:r>
        <w:pict>
          <v:rect style="width:0;height:1.5pt" o:hralign="center" o:hrstd="t" o:hr="t"/>
        </w:pict>
      </w:r>
    </w:p>
    <w:bookmarkEnd w:id="17"/>
    <w:bookmarkEnd w:id="18"/>
    <w:bookmarkStart w:id="21" w:name="key-risks-and-likely-qa-topics"/>
    <w:p>
      <w:pPr>
        <w:pStyle w:val="Heading2"/>
      </w:pPr>
      <w:r>
        <w:t xml:space="preserve">Key risks and likely Q&amp;A topics</w:t>
      </w:r>
    </w:p>
    <w:bookmarkStart w:id="19" w:name="cybersecurity-incident"/>
    <w:p>
      <w:pPr>
        <w:pStyle w:val="Heading3"/>
      </w:pPr>
      <w:r>
        <w:t xml:space="preserve">Cybersecurity incident</w:t>
      </w:r>
    </w:p>
    <w:p>
      <w:pPr>
        <w:pStyle w:val="FirstParagraph"/>
      </w:pPr>
      <w:r>
        <w:t xml:space="preserve">On July 31, Amgen disclosed a</w:t>
      </w:r>
      <w:r>
        <w:t xml:space="preserve"> </w:t>
      </w:r>
      <w:r>
        <w:rPr>
          <w:b/>
          <w:bCs/>
        </w:rPr>
        <w:t xml:space="preserve">material cybersecurity incident</w:t>
      </w:r>
      <w:r>
        <w:t xml:space="preserve"> </w:t>
      </w:r>
      <w:r>
        <w:t xml:space="preserve">involving unauthorized activity in third-party cloud environments. The company said proprietary data, patient protected health information, and other information were exfiltrated. It also stated that, as of the filing, it had not identified an impact on products, manufacturing, financial-reporting systems, or its ability to meet patient needs, and did not believe the incident was reasonably likely to materially affect financial condition or operating results.</w:t>
      </w:r>
    </w:p>
    <w:p>
      <w:pPr>
        <w:pStyle w:val="BodyText"/>
      </w:pPr>
      <w:r>
        <w:t xml:space="preserve">This deserves attention even if it is not expected to change Q2 financials. Investors should look for commentary on:</w:t>
      </w:r>
    </w:p>
    <w:p>
      <w:pPr>
        <w:pStyle w:val="Compact"/>
        <w:numPr>
          <w:ilvl w:val="0"/>
          <w:numId w:val="1008"/>
        </w:numPr>
      </w:pPr>
      <w:r>
        <w:t xml:space="preserve">the scope and nature of the affected data;</w:t>
      </w:r>
    </w:p>
    <w:p>
      <w:pPr>
        <w:pStyle w:val="Compact"/>
        <w:numPr>
          <w:ilvl w:val="0"/>
          <w:numId w:val="1008"/>
        </w:numPr>
      </w:pPr>
      <w:r>
        <w:t xml:space="preserve">containment and remediation status;</w:t>
      </w:r>
    </w:p>
    <w:p>
      <w:pPr>
        <w:pStyle w:val="Compact"/>
        <w:numPr>
          <w:ilvl w:val="0"/>
          <w:numId w:val="1008"/>
        </w:numPr>
      </w:pPr>
      <w:r>
        <w:t xml:space="preserve">expected notification, legal, regulatory, and remediation costs;</w:t>
      </w:r>
    </w:p>
    <w:p>
      <w:pPr>
        <w:pStyle w:val="Compact"/>
        <w:numPr>
          <w:ilvl w:val="0"/>
          <w:numId w:val="1008"/>
        </w:numPr>
      </w:pPr>
      <w:r>
        <w:t xml:space="preserve">any impact on clinical data, intellectual property, commercial systems, or third-party relationships.</w:t>
      </w:r>
    </w:p>
    <w:bookmarkEnd w:id="19"/>
    <w:bookmarkStart w:id="20" w:name="regulatory-and-pricing-risks"/>
    <w:p>
      <w:pPr>
        <w:pStyle w:val="Heading3"/>
      </w:pPr>
      <w:r>
        <w:t xml:space="preserve">Regulatory and pricing risks</w:t>
      </w:r>
    </w:p>
    <w:p>
      <w:pPr>
        <w:pStyle w:val="Compact"/>
        <w:numPr>
          <w:ilvl w:val="0"/>
          <w:numId w:val="1009"/>
        </w:numPr>
      </w:pPr>
      <w:r>
        <w:rPr>
          <w:b/>
          <w:bCs/>
        </w:rPr>
        <w:t xml:space="preserve">TAVNEOS:</w:t>
      </w:r>
      <w:r>
        <w:t xml:space="preserve"> </w:t>
      </w:r>
      <w:r>
        <w:t xml:space="preserve">FDA has proposed withdrawing approval, while Amgen intends to contest the action and the product remains on the market during the process. The revenue contribution is modest relative to Amgen overall, but the regulatory issue is material for sentiment and risk assessment.</w:t>
      </w:r>
    </w:p>
    <w:p>
      <w:pPr>
        <w:pStyle w:val="Compact"/>
        <w:numPr>
          <w:ilvl w:val="0"/>
          <w:numId w:val="1009"/>
        </w:numPr>
      </w:pPr>
      <w:r>
        <w:rPr>
          <w:b/>
          <w:bCs/>
        </w:rPr>
        <w:t xml:space="preserve">IRA / price setting:</w:t>
      </w:r>
      <w:r>
        <w:t xml:space="preserve"> </w:t>
      </w:r>
      <w:r>
        <w:t xml:space="preserve">Enbrel has been subject to Medicare Part D price setting since January 1, 2026; Otezla is set to face Medicare price setting beginning January 2027.</w:t>
      </w:r>
    </w:p>
    <w:p>
      <w:pPr>
        <w:pStyle w:val="Compact"/>
        <w:numPr>
          <w:ilvl w:val="0"/>
          <w:numId w:val="1009"/>
        </w:numPr>
      </w:pPr>
      <w:r>
        <w:rPr>
          <w:b/>
          <w:bCs/>
        </w:rPr>
        <w:t xml:space="preserve">Tax litigation:</w:t>
      </w:r>
      <w:r>
        <w:t xml:space="preserve"> </w:t>
      </w:r>
      <w:r>
        <w:t xml:space="preserve">Management expects a Tax Court decision related to prior tax years no earlier than H2 2026. Separately, Amgen disputes a draft IRS notice covering 2016–2018 that it says could be material if sustained.</w:t>
      </w:r>
    </w:p>
    <w:p>
      <w:r>
        <w:pict>
          <v:rect style="width:0;height:1.5pt" o:hralign="center" o:hrstd="t" o:hr="t"/>
        </w:pict>
      </w:r>
    </w:p>
    <w:bookmarkEnd w:id="20"/>
    <w:bookmarkEnd w:id="21"/>
    <w:bookmarkStart w:id="24" w:name="X5188a04f884094257ec8f917340788c13ce6c60"/>
    <w:p>
      <w:pPr>
        <w:pStyle w:val="Heading2"/>
      </w:pPr>
      <w:r>
        <w:t xml:space="preserve">What would constitute a positive or negative print?</w:t>
      </w:r>
    </w:p>
    <w:bookmarkStart w:id="22" w:name="bullish-outcome"/>
    <w:p>
      <w:pPr>
        <w:pStyle w:val="Heading3"/>
      </w:pPr>
      <w:r>
        <w:t xml:space="preserve">Bullish outcome</w:t>
      </w:r>
    </w:p>
    <w:p>
      <w:pPr>
        <w:pStyle w:val="Compact"/>
        <w:numPr>
          <w:ilvl w:val="0"/>
          <w:numId w:val="1010"/>
        </w:numPr>
      </w:pPr>
      <w:r>
        <w:t xml:space="preserve">Revenue and non-GAAP EPS beat expectations, paired with a</w:t>
      </w:r>
      <w:r>
        <w:t xml:space="preserve"> </w:t>
      </w:r>
      <w:r>
        <w:rPr>
          <w:b/>
          <w:bCs/>
        </w:rPr>
        <w:t xml:space="preserve">guidance raise</w:t>
      </w:r>
      <w:r>
        <w:t xml:space="preserve"> </w:t>
      </w:r>
      <w:r>
        <w:t xml:space="preserve">or a notably more confident outlook.</w:t>
      </w:r>
    </w:p>
    <w:p>
      <w:pPr>
        <w:pStyle w:val="Compact"/>
        <w:numPr>
          <w:ilvl w:val="0"/>
          <w:numId w:val="1010"/>
        </w:numPr>
      </w:pPr>
      <w:r>
        <w:t xml:space="preserve">Repatha, UPLIZNA, IMDELLTRA and PAVBLU deliver continued strong volume-led growth.</w:t>
      </w:r>
    </w:p>
    <w:p>
      <w:pPr>
        <w:pStyle w:val="Compact"/>
        <w:numPr>
          <w:ilvl w:val="0"/>
          <w:numId w:val="1010"/>
        </w:numPr>
      </w:pPr>
      <w:r>
        <w:t xml:space="preserve">Prolia/XGEVA decline is within, or better than, the expected erosion curve.</w:t>
      </w:r>
    </w:p>
    <w:p>
      <w:pPr>
        <w:pStyle w:val="Compact"/>
        <w:numPr>
          <w:ilvl w:val="0"/>
          <w:numId w:val="1010"/>
        </w:numPr>
      </w:pPr>
      <w:r>
        <w:t xml:space="preserve">Margins hold around the mid-40% range despite R&amp;D investment.</w:t>
      </w:r>
    </w:p>
    <w:p>
      <w:pPr>
        <w:pStyle w:val="Compact"/>
        <w:numPr>
          <w:ilvl w:val="0"/>
          <w:numId w:val="1010"/>
        </w:numPr>
      </w:pPr>
      <w:r>
        <w:t xml:space="preserve">Cyber incident is described as contained, with no operational, clinical, or financial escalation.</w:t>
      </w:r>
    </w:p>
    <w:bookmarkEnd w:id="22"/>
    <w:bookmarkStart w:id="23" w:name="bearish-outcome"/>
    <w:p>
      <w:pPr>
        <w:pStyle w:val="Heading3"/>
      </w:pPr>
      <w:r>
        <w:t xml:space="preserve">Bearish outcome</w:t>
      </w:r>
    </w:p>
    <w:p>
      <w:pPr>
        <w:pStyle w:val="Compact"/>
        <w:numPr>
          <w:ilvl w:val="0"/>
          <w:numId w:val="1011"/>
        </w:numPr>
      </w:pPr>
      <w:r>
        <w:t xml:space="preserve">Denosumab erosion materially exceeds expectations or management lowers its full-year sales outlook.</w:t>
      </w:r>
    </w:p>
    <w:p>
      <w:pPr>
        <w:pStyle w:val="Compact"/>
        <w:numPr>
          <w:ilvl w:val="0"/>
          <w:numId w:val="1011"/>
        </w:numPr>
      </w:pPr>
      <w:r>
        <w:t xml:space="preserve">Growth brands show deceleration driven by inventory reversals, weaker access, pricing pressure, or slowing new-patient demand.</w:t>
      </w:r>
    </w:p>
    <w:p>
      <w:pPr>
        <w:pStyle w:val="Compact"/>
        <w:numPr>
          <w:ilvl w:val="0"/>
          <w:numId w:val="1011"/>
        </w:numPr>
      </w:pPr>
      <w:r>
        <w:t xml:space="preserve">Margin guidance weakens because of higher R&amp;D, royalties, pricing, or remediation costs.</w:t>
      </w:r>
    </w:p>
    <w:p>
      <w:pPr>
        <w:pStyle w:val="Compact"/>
        <w:numPr>
          <w:ilvl w:val="0"/>
          <w:numId w:val="1011"/>
        </w:numPr>
      </w:pPr>
      <w:r>
        <w:t xml:space="preserve">The cyber incident expands in scope or raises concerns around intellectual property, patient-data liabilities, manufacturing, or clinical operations.</w:t>
      </w:r>
    </w:p>
    <w:p>
      <w:pPr>
        <w:pStyle w:val="Compact"/>
        <w:numPr>
          <w:ilvl w:val="0"/>
          <w:numId w:val="1011"/>
        </w:numPr>
      </w:pPr>
      <w:r>
        <w:t xml:space="preserve">Commentary on MariTide becomes less confident on timing, tolerability, differentiation, or manufacturing readiness.</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AMGN’s Q2 report is primarily a test of whether</w:t>
      </w:r>
      <w:r>
        <w:t xml:space="preserve"> </w:t>
      </w:r>
      <w:r>
        <w:rPr>
          <w:b/>
          <w:bCs/>
        </w:rPr>
        <w:t xml:space="preserve">portfolio rotation is working on schedule</w:t>
      </w:r>
      <w:r>
        <w:t xml:space="preserve">. The company has credible growth assets and demonstrated momentum in Q1, but the market needs proof that these assets can absorb rapidly accelerating biosimilar and pricing pressure in the legacy portfolio without compromising margins or guidance.</w:t>
      </w:r>
    </w:p>
    <w:p>
      <w:pPr>
        <w:pStyle w:val="BodyText"/>
      </w:pPr>
      <w:r>
        <w:t xml:space="preserve">The highest-value questions are straightforward:</w:t>
      </w:r>
    </w:p>
    <w:p>
      <w:pPr>
        <w:pStyle w:val="Compact"/>
        <w:numPr>
          <w:ilvl w:val="0"/>
          <w:numId w:val="1012"/>
        </w:numPr>
      </w:pPr>
      <w:r>
        <w:rPr>
          <w:b/>
          <w:bCs/>
        </w:rPr>
        <w:t xml:space="preserve">How fast are Prolia and XGEVA eroding?</w:t>
      </w:r>
    </w:p>
    <w:p>
      <w:pPr>
        <w:pStyle w:val="Compact"/>
        <w:numPr>
          <w:ilvl w:val="0"/>
          <w:numId w:val="1012"/>
        </w:numPr>
      </w:pPr>
      <w:r>
        <w:rPr>
          <w:b/>
          <w:bCs/>
        </w:rPr>
        <w:t xml:space="preserve">Are Repatha, UPLIZNA, IMDELLTRA and PAVBLU still growing on an underlying-demand basis?</w:t>
      </w:r>
    </w:p>
    <w:p>
      <w:pPr>
        <w:pStyle w:val="Compact"/>
        <w:numPr>
          <w:ilvl w:val="0"/>
          <w:numId w:val="1012"/>
        </w:numPr>
      </w:pPr>
      <w:r>
        <w:rPr>
          <w:b/>
          <w:bCs/>
        </w:rPr>
        <w:t xml:space="preserve">Can Amgen sustain its full-year guidance while funding MariTide and the broader late-stage pipeline?</w:t>
      </w:r>
    </w:p>
    <w:p>
      <w:pPr>
        <w:pStyle w:val="Compact"/>
        <w:numPr>
          <w:ilvl w:val="0"/>
          <w:numId w:val="1012"/>
        </w:numPr>
      </w:pPr>
      <w:r>
        <w:rPr>
          <w:b/>
          <w:bCs/>
        </w:rPr>
        <w:t xml:space="preserve">Is the cybersecurity incident contained and financially non-material as currently assessed?</w:t>
      </w:r>
    </w:p>
    <w:p>
      <w:pPr>
        <w:pStyle w:val="FirstParagraph"/>
      </w:pPr>
      <w:r>
        <w:t xml:space="preserve">For this report, a modest earnings beat alone may not be enough. The stock reaction will likely depend on whether management strengthens confidence in the</w:t>
      </w:r>
      <w:r>
        <w:t xml:space="preserve"> </w:t>
      </w:r>
      <w:r>
        <w:rPr>
          <w:b/>
          <w:bCs/>
        </w:rPr>
        <w:t xml:space="preserve">2026 exit rate</w:t>
      </w:r>
      <w:r>
        <w:t xml:space="preserve"> </w:t>
      </w:r>
      <w:r>
        <w:t xml:space="preserve">and the longer-term transition from legacy biologics to a more diversified growth portfolio.</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2026-08-04T01:34:00Z</dcterms:created>
  <dcterms:modified xsi:type="dcterms:W3CDTF">2026-08-04T01:34:00Z</dcterms:modified>
</cp:coreProperties>
</file>

<file path=docProps/custom.xml><?xml version="1.0" encoding="utf-8"?>
<Properties xmlns="http://schemas.openxmlformats.org/officeDocument/2006/custom-properties" xmlns:vt="http://schemas.openxmlformats.org/officeDocument/2006/docPropsVTypes"/>
</file>