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net-earnings-predictions--2026-08-04"/>
    <w:p>
      <w:pPr>
        <w:pStyle w:val="Heading1"/>
      </w:pPr>
      <w:r>
        <w:t xml:space="preserve">ANET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~$2.94B vs. cons $2.828B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~$0.94 vs. cons $0.89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~62.5% vs. cons ~63.8%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~$11.5B vs. cons $11.55B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AI Fabric Revenue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~$3.5B vs. cons $3.5B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~$2.95B vs. cons $2.90B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Gross Margin Range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~61-63% vs. cons 62-64%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ANET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-7.5% (FOLLOW-THROUGH)</w:t>
            </w:r>
          </w:p>
        </w:tc>
        <w:tc>
          <w:tcPr/>
          <w:p>
            <w:pPr>
              <w:pStyle w:val="Compact"/>
            </w:pPr>
            <w:r>
              <w:t xml:space="preserve">Setup mirrors Q1: stock rallied ~40% into the print on AI-capex euphoria, pricing in a beat, while memory/silicon cost inflation (DRAM spikes flagged by Micron/Amazon capex commentary) makes a gross-margin guide-down for FY26 (62-64% range narrowing toward the low end) likely even amid a top-line/EPS beat. Last quarter's near-identical dynamic (beat + margin concern) drove a -14% two-day drop that continued rather than reversed within the week as analysts cut FY26 EPS/margin estimates on the implicit cost read-through; expect a similar initial negative reaction to extend over 5 days as sell-side trims margin assumptions, even if revenue/AI-fabric targets are reaffirmed.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2026-08-04T01:41:52Z</dcterms:created>
  <dcterms:modified xsi:type="dcterms:W3CDTF">2026-08-04T01:41:52Z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