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f8a8d11605a5ab13505c2c5505cd726340cbbb0"/>
    <w:p>
      <w:pPr>
        <w:pStyle w:val="Heading1"/>
      </w:pPr>
      <w:r>
        <w:t xml:space="preserve">Arista Networks (ANET) — Q2 2026 Earnings Preview</w:t>
      </w:r>
    </w:p>
    <w:p>
      <w:pPr>
        <w:pStyle w:val="FirstParagraph"/>
      </w:pPr>
      <w:r>
        <w:rPr>
          <w:b/>
          <w:bCs/>
        </w:rPr>
        <w:t xml:space="preserve">Report Date:</w:t>
      </w:r>
      <w:r>
        <w:t xml:space="preserve"> </w:t>
      </w:r>
      <w:r>
        <w:t xml:space="preserve">Tuesday, August 4, 2026 (after market close) |</w:t>
      </w:r>
      <w:r>
        <w:t xml:space="preserve"> </w:t>
      </w:r>
      <w:r>
        <w:rPr>
          <w:b/>
          <w:bCs/>
        </w:rPr>
        <w:t xml:space="preserve">Event:</w:t>
      </w:r>
      <w:r>
        <w:t xml:space="preserve"> </w:t>
      </w:r>
      <w:r>
        <w:t xml:space="preserve">2026Q2 Earnings Call</w:t>
      </w:r>
    </w:p>
    <w:bookmarkStart w:id="9" w:name="setup-into-the-print"/>
    <w:p>
      <w:pPr>
        <w:pStyle w:val="Heading2"/>
      </w:pPr>
      <w:r>
        <w:t xml:space="preserve">Setup Into the Print</w:t>
      </w:r>
    </w:p>
    <w:p>
      <w:pPr>
        <w:pStyle w:val="FirstParagraph"/>
      </w:pPr>
      <w:r>
        <w:t xml:space="preserve">ANET shares have been volatile but are entering the print near multi-month highs. The stock cratered from roughly $170 to</w:t>
      </w:r>
      <w:r>
        <w:t xml:space="preserve"> </w:t>
      </w:r>
      <m:oMath>
        <m:r>
          <m:t>141</m:t>
        </m:r>
        <m:r>
          <m:rPr>
            <m:sty m:val="p"/>
          </m:rPr>
          <m:t>(</m:t>
        </m:r>
        <m:r>
          <m:rPr>
            <m:sty m:val="p"/>
          </m:rPr>
          <m:t>−</m:t>
        </m:r>
        <m:r>
          <m:t>14</m:t>
        </m:r>
      </m:oMath>
      <w:r>
        <w:t xml:space="preserve">184.92** on August 3rd, helped by a broad AI-infrastructure risk-on move: strong U.S. tech earnings revived enthusiasm for artificial-intelligence spending, with Amazon reporting accelerating cloud growth and Microsoft delivering blockbuster cloud revenue growth, and the semiconductor complex rallying sharply into the print. Memory bellwether Micron has also seen dramatic moves as Apple and Amazon confirmed strong spending on memory chips, with Amazon raising its 2026 capital expenditure guidance to $220 billion — directly relevant to Arista given its own memory cost exposure (see below).</w:t>
      </w:r>
    </w:p>
    <w:p>
      <w:pPr>
        <w:pStyle w:val="BodyText"/>
      </w:pPr>
      <w:r>
        <w:t xml:space="preserve">Street sentiment heading in is described as very bullish on the revenue and demand environment, though some concern exists about margin pressure from surging memory prices. Consensus is looking for EPS of 89 cents with sales growing 28.3% to $2.828 billion, both slightly ahead of Arista's own guidance.</w:t>
      </w:r>
    </w:p>
    <w:bookmarkEnd w:id="9"/>
    <w:bookmarkStart w:id="10" w:name="X8cd4c52dd56e8e5f382b4d99e8332ffef77bf0f"/>
    <w:p>
      <w:pPr>
        <w:pStyle w:val="Heading2"/>
      </w:pPr>
      <w:r>
        <w:t xml:space="preserve">Q1 2026 Recap — Strong Beat, Raised Full-Year Outlook</w:t>
      </w:r>
    </w:p>
    <w:p>
      <w:pPr>
        <w:pStyle w:val="FirstParagraph"/>
      </w:pPr>
      <w:r>
        <w:t xml:space="preserve">Arista's Q1 2026 (reported May 5) was another beat-and-raise quarter:</w:t>
      </w:r>
    </w:p>
    <w:p>
      <w:pPr>
        <w:pStyle w:val="Compact"/>
        <w:numPr>
          <w:ilvl w:val="0"/>
          <w:numId w:val="1001"/>
        </w:numPr>
      </w:pPr>
      <w:r>
        <w:t xml:space="preserve">Revenue of $2.709 billion, an increase of 8.9% compared to the fourth quarter of 2025, and an increase of 35.1% from the first quarter of 2025.</w:t>
      </w:r>
    </w:p>
    <w:p>
      <w:pPr>
        <w:pStyle w:val="Compact"/>
        <w:numPr>
          <w:ilvl w:val="0"/>
          <w:numId w:val="1001"/>
        </w:numPr>
      </w:pPr>
      <w:r>
        <w:t xml:space="preserve">GAAP and non-GAAP operating margin of 42.7% and 47.8%, respectively, with GAAP and non-GAAP diluted earnings per share of $0.80 and $0.87, respectively.</w:t>
      </w:r>
    </w:p>
    <w:p>
      <w:pPr>
        <w:pStyle w:val="Compact"/>
        <w:numPr>
          <w:ilvl w:val="0"/>
          <w:numId w:val="1001"/>
        </w:numPr>
      </w:pPr>
      <w:r>
        <w:t xml:space="preserve">Management raised full-year 2026 revenue growth guidance to</w:t>
      </w:r>
      <w:r>
        <w:t xml:space="preserve"> </w:t>
      </w:r>
      <w:r>
        <w:rPr>
          <w:b/>
          <w:bCs/>
        </w:rPr>
        <w:t xml:space="preserve">27.7% (~$11.5 billion)</w:t>
      </w:r>
      <w:r>
        <w:t xml:space="preserve"> </w:t>
      </w:r>
      <w:r>
        <w:t xml:space="preserve">and raised the AI fabric revenue target from</w:t>
      </w:r>
      <w:r>
        <w:t xml:space="preserve"> </w:t>
      </w:r>
      <m:oMath>
        <m:r>
          <m:t>3.25</m:t>
        </m:r>
        <m:r>
          <m:t>B</m:t>
        </m:r>
        <m:r>
          <m:t>t</m:t>
        </m:r>
        <m:r>
          <m:t>o</m:t>
        </m:r>
        <m:r>
          <m:rPr>
            <m:sty m:val="p"/>
          </m:rPr>
          <m:t>*</m:t>
        </m:r>
        <m:r>
          <m:rPr>
            <m:sty m:val="p"/>
          </m:rPr>
          <m:t>*</m:t>
        </m:r>
      </m:oMath>
      <w:r>
        <w:t xml:space="preserve">3.5 billion**, which would more than double AI sales year-over-year, while the campus goal of $1.25B was maintained.</w:t>
      </w:r>
    </w:p>
    <w:p>
      <w:pPr>
        <w:pStyle w:val="Compact"/>
        <w:numPr>
          <w:ilvl w:val="0"/>
          <w:numId w:val="1001"/>
        </w:numPr>
      </w:pPr>
      <w:r>
        <w:t xml:space="preserve">Operating cash flow was approximately $1.69 billion of cash from operations in the period, the strongest in the history of Arista, and deferred revenue continued to swell, ending the quarter at $6.2 billion (up from $5.37 billion), reflecting lengthening customer acceptance/qualification cycles rather than demand weakness.</w:t>
      </w:r>
    </w:p>
    <w:p>
      <w:pPr>
        <w:pStyle w:val="FirstParagraph"/>
      </w:pPr>
      <w:r>
        <w:rPr>
          <w:b/>
          <w:bCs/>
        </w:rPr>
        <w:t xml:space="preserve">Q2 2026 guidance given alongside Q1 results:</w:t>
      </w:r>
      <w:r>
        <w:t xml:space="preserve"> </w:t>
      </w:r>
      <w:r>
        <w:t xml:space="preserve">revenue of ~</w:t>
      </w:r>
      <m:oMath>
        <m:r>
          <m:t>2.8</m:t>
        </m:r>
        <m:r>
          <m:t>b</m:t>
        </m:r>
        <m:r>
          <m:t>i</m:t>
        </m:r>
        <m:r>
          <m:t>l</m:t>
        </m:r>
        <m:r>
          <m:t>l</m:t>
        </m:r>
        <m:r>
          <m:t>i</m:t>
        </m:r>
        <m:r>
          <m:t>o</m:t>
        </m:r>
        <m:r>
          <m:t>n</m:t>
        </m:r>
        <m:r>
          <m:rPr>
            <m:sty m:val="p"/>
          </m:rPr>
          <m:t>,</m:t>
        </m:r>
        <m:r>
          <m:t>n</m:t>
        </m:r>
        <m:r>
          <m:t>o</m:t>
        </m:r>
        <m:r>
          <m:t>n</m:t>
        </m:r>
        <m:r>
          <m:rPr>
            <m:sty m:val="p"/>
          </m:rPr>
          <m:t>−</m:t>
        </m:r>
        <m:r>
          <m:t>G</m:t>
        </m:r>
        <m:r>
          <m:t>A</m:t>
        </m:r>
        <m:r>
          <m:t>A</m:t>
        </m:r>
        <m:r>
          <m:t>P</m:t>
        </m:r>
        <m:r>
          <m:t>o</m:t>
        </m:r>
        <m:r>
          <m:t>p</m:t>
        </m:r>
        <m:r>
          <m:t>e</m:t>
        </m:r>
        <m:r>
          <m:t>r</m:t>
        </m:r>
        <m:r>
          <m:t>a</m:t>
        </m:r>
        <m:r>
          <m:t>t</m:t>
        </m:r>
        <m:r>
          <m:t>i</m:t>
        </m:r>
        <m:r>
          <m:t>n</m:t>
        </m:r>
        <m:r>
          <m:t>g</m:t>
        </m:r>
        <m:r>
          <m:t>m</m:t>
        </m:r>
        <m:r>
          <m:t>a</m:t>
        </m:r>
        <m:r>
          <m:t>r</m:t>
        </m:r>
        <m:r>
          <m:t>g</m:t>
        </m:r>
        <m:r>
          <m:t>i</m:t>
        </m:r>
        <m:r>
          <m:t>n</m:t>
        </m:r>
        <m:r>
          <m:t>o</m:t>
        </m:r>
        <m:r>
          <m:t>f</m:t>
        </m:r>
        <m:r>
          <m:t>46</m:t>
        </m:r>
        <m:r>
          <m:rPr>
            <m:sty m:val="p"/>
          </m:rPr>
          <m:t>–</m:t>
        </m:r>
        <m:r>
          <m:t>47</m:t>
        </m:r>
      </m:oMath>
      <w:r>
        <w:t xml:space="preserve">0.88 — essentially in line with where the Street sits now, meaning the bar is modest and Arista's historical pattern of guiding conservatively and beating remains the key swing factor.</w:t>
      </w:r>
    </w:p>
    <w:bookmarkEnd w:id="10"/>
    <w:bookmarkStart w:id="11" w:name="key-themes-to-watch-on-the-call"/>
    <w:p>
      <w:pPr>
        <w:pStyle w:val="Heading2"/>
      </w:pPr>
      <w:r>
        <w:t xml:space="preserve">Key Themes to Watch on the Call</w:t>
      </w:r>
    </w:p>
    <w:p>
      <w:pPr>
        <w:pStyle w:val="FirstParagraph"/>
      </w:pPr>
      <w:r>
        <w:rPr>
          <w:b/>
          <w:bCs/>
        </w:rPr>
        <w:t xml:space="preserve">1. Supply chain / gross margin — the central tension.</w:t>
      </w:r>
      <w:r>
        <w:t xml:space="preserve"> </w:t>
      </w:r>
      <w:r>
        <w:t xml:space="preserve">Management was unusually direct on the Q1 call that the constraint has shifted from a quarter or two problem to a multi-year one. CEO Jayshree Ullal said the company is experiencing industry-wide shortages across the board, be it wafers, silicon chips, CPUs, optics and, of course, memory, and explicitly flagged gross margin pressure due to mix and trade-offs we are making to pay more to assure supply continuity to our customers. She reiterated that the constraint is now viewed as not a 1- or 2-quarter phenomena... now we think it's a 1- or 2-year phenomena, adding that first, we thought it was memory. Now it's all the wafer fabrication facilities. Every chip is challenged. With DRAM/memory prices continuing to spike into Q3 (evidenced by Micron's recent volatility), watch closely whether management narrows or reaffirms the FY26 gross margin range of 62–64%, and CFO commentary on whether mix (large customers carry lower accretive margins) or input costs are the bigger swing factor.</w:t>
      </w:r>
    </w:p>
    <w:p>
      <w:pPr>
        <w:pStyle w:val="BodyText"/>
      </w:pPr>
      <w:r>
        <w:rPr>
          <w:b/>
          <w:bCs/>
        </w:rPr>
        <w:t xml:space="preserve">2. AI revenue trajectory and the "scale up / scale out / scale across" framework.</w:t>
      </w:r>
      <w:r>
        <w:t xml:space="preserve"> </w:t>
      </w:r>
      <w:r>
        <w:t xml:space="preserve">Arista's AI narrative is increasingly organized around three fabric types — intra-rack "scale-up" (still nascent, expected to matter more in 2027+), "scale-out" (its historical strength, with greater than 100 cumulative customers to date in 800 gigabit Ethernet deployments), and "scale-across" (connecting distributed data centers/clusters, which management called by far the most significant and differentiated opportunity, expected to represent at least a third of the AI number in 2026). Investors should listen for updated commentary on the $3.5B AI target's trajectory and any incremental color on new 10%+ customers — Ullal said last quarter she still expects 1, maybe 2 10% customers beyond long-time anchors Microsoft and Meta.</w:t>
      </w:r>
    </w:p>
    <w:p>
      <w:pPr>
        <w:pStyle w:val="BodyText"/>
      </w:pPr>
      <w:r>
        <w:rPr>
          <w:b/>
          <w:bCs/>
        </w:rPr>
        <w:t xml:space="preserve">3. New product cycle (XPO, 7060X7, rack-scale).</w:t>
      </w:r>
      <w:r>
        <w:t xml:space="preserve"> </w:t>
      </w:r>
      <w:r>
        <w:t xml:space="preserve">Since Q1, Arista hosted a dedicated "Rack-scale AI Fabrics" webinar (June 25) unveiling the</w:t>
      </w:r>
      <w:r>
        <w:t xml:space="preserve"> </w:t>
      </w:r>
      <w:r>
        <w:rPr>
          <w:b/>
          <w:bCs/>
        </w:rPr>
        <w:t xml:space="preserve">7060X7 series</w:t>
      </w:r>
      <w:r>
        <w:t xml:space="preserve"> </w:t>
      </w:r>
      <w:r>
        <w:t xml:space="preserve">(Broadcom Tomahawk 6-based, 102.4 Tbps, native 800G/1.6T ports, air- and liquid-cooled) and continuing to push its</w:t>
      </w:r>
      <w:r>
        <w:t xml:space="preserve"> </w:t>
      </w:r>
      <w:r>
        <w:rPr>
          <w:b/>
          <w:bCs/>
        </w:rPr>
        <w:t xml:space="preserve">XPO</w:t>
      </w:r>
      <w:r>
        <w:t xml:space="preserve"> </w:t>
      </w:r>
      <w:r>
        <w:t xml:space="preserve">high-density pluggable optics platform, which the company says can reduce networking racks by up to 75% and cut floor space by up to 44% versus traditional optics, now endorsed by more than 100 industry vendors. This positions Arista for the 1.6T upgrade cycle expected at production scale in 2027 and is a proof point for its "network as AI backbone" thesis — watch for order/design-win updates and any read on customer adoption timing.</w:t>
      </w:r>
    </w:p>
    <w:p>
      <w:pPr>
        <w:pStyle w:val="BodyText"/>
      </w:pPr>
      <w:r>
        <w:rPr>
          <w:b/>
          <w:bCs/>
        </w:rPr>
        <w:t xml:space="preserve">4. Deferred revenue and lead-time dynamics.</w:t>
      </w:r>
      <w:r>
        <w:t xml:space="preserve"> </w:t>
      </w:r>
      <w:r>
        <w:t xml:space="preserve">Deferred revenue (now $6.2B) has become a volatile, closely-watched line as qualification cycles for new AI hardware have stretched from what used to be 2–4 quarters to</w:t>
      </w:r>
      <w:r>
        <w:t xml:space="preserve"> </w:t>
      </w:r>
      <w:r>
        <w:rPr>
          <w:b/>
          <w:bCs/>
        </w:rPr>
        <w:t xml:space="preserve">6–8 quarters</w:t>
      </w:r>
      <w:r>
        <w:t xml:space="preserve">, per Ullal, and lead times on key chips have reportedly stretched to roughly a year. This creates lumpiness that could cause quarter-to-quarter divergence from the underlying demand trend — a point management flagged explicitly as a modeling risk.</w:t>
      </w:r>
    </w:p>
    <w:p>
      <w:pPr>
        <w:pStyle w:val="BodyText"/>
      </w:pPr>
      <w:r>
        <w:rPr>
          <w:b/>
          <w:bCs/>
        </w:rPr>
        <w:t xml:space="preserve">5. Competitive and customer-concentration risk.</w:t>
      </w:r>
      <w:r>
        <w:t xml:space="preserve"> </w:t>
      </w:r>
      <w:r>
        <w:t xml:space="preserve">Arista continues to tout differentiation via its EOS software stack across front-end and back-end networks (a "single operating model" pitch versus white-box/ODM competitors), plus expanding traction with neoclouds, sovereign clouds, and diverse AI accelerators (AMD, TPUs) beyond Nvidia-centric deployments. However, large-customer concentration (Microsoft and Meta as long-standing 10%+ customers) remains a structural risk highlighted in the company's own risk factors, and intensifying competition from Cisco, Nvidia's networking push, and ODM/white-box vendors is an ongoing overhang. Cisco shares have also rallied strongly in recent months (up from ~</w:t>
      </w:r>
      <m:oMath>
        <m:r>
          <m:t>76</m:t>
        </m:r>
        <m:r>
          <m:t>i</m:t>
        </m:r>
        <m:r>
          <m:t>n</m:t>
        </m:r>
        <m:r>
          <m:t>J</m:t>
        </m:r>
        <m:r>
          <m:t>a</m:t>
        </m:r>
        <m:r>
          <m:t>n</m:t>
        </m:r>
        <m:r>
          <m:t>u</m:t>
        </m:r>
        <m:r>
          <m:t>a</m:t>
        </m:r>
        <m:r>
          <m:t>r</m:t>
        </m:r>
        <m:r>
          <m:t>y</m:t>
        </m:r>
        <m:r>
          <m:t>t</m:t>
        </m:r>
        <m:r>
          <m:t>o</m:t>
        </m:r>
        <m:r>
          <m:t> </m:t>
        </m:r>
      </m:oMath>
      <w:r>
        <w:t xml:space="preserve">116 now), suggesting the entire high-speed networking space is trading on the same AI capex optimism.</w:t>
      </w:r>
    </w:p>
    <w:p>
      <w:pPr>
        <w:pStyle w:val="BodyText"/>
      </w:pPr>
      <w:r>
        <w:rPr>
          <w:b/>
          <w:bCs/>
        </w:rPr>
        <w:t xml:space="preserve">6. Macro tailwind vs. capex durability debate.</w:t>
      </w:r>
      <w:r>
        <w:t xml:space="preserve"> </w:t>
      </w:r>
      <w:r>
        <w:t xml:space="preserve">The backdrop entering this print is unusually supportive: hyperscaler earnings from Microsoft and Amazon this week beat expectations and did not show signs of AI capex fatigue, and semiconductor/memory stocks have surged on tightening DRAM/HBM supply. That said, some of the same dynamics (e.g., Nvidia trading sideways on doubts... over whether Nvidia will benefit from higher Big Tech spending amid rising costs for other artificial-intelligence hardware) suggest the market remains sensitive to any signs that AI infrastructure spending is decelerating or becoming margin-dilutive across the supply chain — a dynamic directly relevant to Arista's own gross margin guide.</w:t>
      </w:r>
    </w:p>
    <w:bookmarkEnd w:id="11"/>
    <w:bookmarkStart w:id="12" w:name="what-would-move-the-stock"/>
    <w:p>
      <w:pPr>
        <w:pStyle w:val="Heading2"/>
      </w:pPr>
      <w:r>
        <w:t xml:space="preserve">What Would Move the Stock</w:t>
      </w:r>
    </w:p>
    <w:p>
      <w:pPr>
        <w:pStyle w:val="Compact"/>
        <w:numPr>
          <w:ilvl w:val="0"/>
          <w:numId w:val="1002"/>
        </w:numPr>
      </w:pPr>
      <w:r>
        <w:rPr>
          <w:b/>
          <w:bCs/>
        </w:rPr>
        <w:t xml:space="preserve">Upside catalysts:</w:t>
      </w:r>
      <w:r>
        <w:t xml:space="preserve"> </w:t>
      </w:r>
      <w:r>
        <w:t xml:space="preserve">Another revenue/EPS beat with reaffirmed or raised full-year guidance (especially the</w:t>
      </w:r>
      <w:r>
        <w:t xml:space="preserve"> </w:t>
      </w:r>
      <m:oMath>
        <m:r>
          <m:t>11.5</m:t>
        </m:r>
        <m:r>
          <m:t>B</m:t>
        </m:r>
        <m:r>
          <m:rPr>
            <m:sty m:val="p"/>
          </m:rPr>
          <m:t>/</m:t>
        </m:r>
      </m:oMath>
      <w:r>
        <w:t xml:space="preserve">3.5B AI targets); commentary confirming gross margin holding in the 62–64% range despite memory cost inflation; progress on new 10%+ customers; strong scale-across/scale-out order momentum; positive read-through from XPO/7060X7 adoption.</w:t>
      </w:r>
    </w:p>
    <w:p>
      <w:pPr>
        <w:pStyle w:val="Compact"/>
        <w:numPr>
          <w:ilvl w:val="0"/>
          <w:numId w:val="1002"/>
        </w:numPr>
      </w:pPr>
      <w:r>
        <w:rPr>
          <w:b/>
          <w:bCs/>
        </w:rPr>
        <w:t xml:space="preserve">Downside risks:</w:t>
      </w:r>
      <w:r>
        <w:t xml:space="preserve"> </w:t>
      </w:r>
      <w:r>
        <w:t xml:space="preserve">Further gross margin guide-down tied to memory/silicon costs; commentary suggesting supply constraints are capping revenue upside more than expected; deceleration in deferred revenue growth signaling slower AI project conversion; any softness in enterprise/campus demand that offsets AI strength.</w:t>
      </w:r>
    </w:p>
    <w:bookmarkEnd w:id="12"/>
    <w:bookmarkStart w:id="13" w:name="bottom-line"/>
    <w:p>
      <w:pPr>
        <w:pStyle w:val="Heading2"/>
      </w:pPr>
      <w:r>
        <w:t xml:space="preserve">Bottom Line</w:t>
      </w:r>
    </w:p>
    <w:p>
      <w:pPr>
        <w:pStyle w:val="FirstParagraph"/>
      </w:pPr>
      <w:r>
        <w:t xml:space="preserve">Arista goes into Q2 2026 earnings with a low bar (guidance of $2.8B revenue / $0.88 EPS, both essentially matched by Street consensus) and a demand backdrop that management itself describes as the best in company history, constrained mainly by supply rather than demand. The stock's sharp post-Q1 selloff (despite a beat-and-raise) shows the market is laser-focused on gross margin trajectory amid memory/silicon cost inflation — that will likely be the single most important variable investors react to on this call, alongside any incremental detail on the pace of the AI fabric ramp toward the $3.5 billion full-year target and the durability of hyperscaler/neocloud capex following blowout results from Microsoft and Amazon this week.</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2026-08-04T01:41:52Z</dcterms:created>
  <dcterms:modified xsi:type="dcterms:W3CDTF">2026-08-04T01:41:52Z</dcterms:modified>
</cp:coreProperties>
</file>

<file path=docProps/custom.xml><?xml version="1.0" encoding="utf-8"?>
<Properties xmlns="http://schemas.openxmlformats.org/officeDocument/2006/custom-properties" xmlns:vt="http://schemas.openxmlformats.org/officeDocument/2006/docPropsVTypes"/>
</file>