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net-earnings-predictions--2026-08-04"/>
    <w:p>
      <w:pPr>
        <w:pStyle w:val="Heading1"/>
      </w:pPr>
      <w:r>
        <w:t xml:space="preserve">ANET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~$2.87B vs. cons $2.828B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~$0.91 vs. cons $0.89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non-GAAP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~62.4% vs. cons 62.5%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~$3.00B vs. cons $2.94B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non-GAAP diluted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~$0.92 vs. cons $0.91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non-GAAP gross-margin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~62.0%-63.0% vs. cons 62.5%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~$11.75B vs. cons $11.62B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AI fabric revenue target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~$3.75B vs. prior/cons $3.50B (FY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(FOLLOW-THROUGH)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2.87</m:t>
              </m:r>
              <m:r>
                <m:t>B</m:t>
              </m:r>
              <m:r>
                <m:t>Q</m:t>
              </m:r>
              <m:r>
                <m:t>2</m:t>
              </m:r>
              <m:r>
                <m:t>r</m:t>
              </m:r>
              <m:r>
                <m:t>e</m:t>
              </m:r>
              <m:r>
                <m:t>s</m:t>
              </m:r>
              <m:r>
                <m:t>u</m:t>
              </m:r>
              <m:r>
                <m:t>l</m:t>
              </m:r>
              <m:r>
                <m:t>t</m:t>
              </m:r>
              <m:r>
                <m:t>p</m:t>
              </m:r>
              <m:r>
                <m:t>l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3.00B Q3 guide and ~$11.75B FY guide implies roughly $3.17B of Q4 revenue versus an approximately $3.14B consensus run-rate, supporting modest positive out-period revisions; the follow-through is constrained by the pre-earnings run-up and continued 62%-63% gross-margin pressure.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2026-08-04T01:43:34Z</dcterms:created>
  <dcterms:modified xsi:type="dcterms:W3CDTF">2026-08-04T01:43:34Z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