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anet-q2-2026-earnings-preview"/>
    <w:p>
      <w:pPr>
        <w:pStyle w:val="Heading1"/>
      </w:pPr>
      <w:r>
        <w:t xml:space="preserve">ANET Q2 2026 Earnings Preview</w:t>
      </w:r>
    </w:p>
    <w:p>
      <w:pPr>
        <w:pStyle w:val="BlockText"/>
      </w:pPr>
      <w:r>
        <w:rPr>
          <w:b/>
          <w:bCs/>
        </w:rPr>
        <w:t xml:space="preserve">Timing correction:</w:t>
      </w:r>
      <w:r>
        <w:t xml:space="preserve"> </w:t>
      </w:r>
      <w:r>
        <w:t xml:space="preserve">Arista Networks is scheduled to report</w:t>
      </w:r>
      <w:r>
        <w:t xml:space="preserve"> </w:t>
      </w:r>
      <w:r>
        <w:rPr>
          <w:b/>
          <w:bCs/>
        </w:rPr>
        <w:t xml:space="preserve">today, Tuesday, August 4, 2026</w:t>
      </w:r>
      <w:r>
        <w:t xml:space="preserve">, after the U.S. market closes—not tomorrow. The earnings call begins at</w:t>
      </w:r>
      <w:r>
        <w:t xml:space="preserve"> </w:t>
      </w:r>
      <w:r>
        <w:rPr>
          <w:b/>
          <w:bCs/>
        </w:rPr>
        <w:t xml:space="preserve">4:30 p.m. ET</w:t>
      </w:r>
      <w:r>
        <w:t xml:space="preserve">. (</w:t>
      </w:r>
      <w:hyperlink r:id="rId9">
        <w:r>
          <w:rPr>
            <w:rStyle w:val="Hyperlink"/>
          </w:rPr>
          <w:t xml:space="preserve">investors.arista.com</w:t>
        </w:r>
      </w:hyperlink>
      <w:r>
        <w:t xml:space="preserve">)</w:t>
      </w:r>
    </w:p>
    <w:bookmarkStart w:id="10" w:name="investment-view-going-into-the-print"/>
    <w:p>
      <w:pPr>
        <w:pStyle w:val="Heading2"/>
      </w:pPr>
      <w:r>
        <w:t xml:space="preserve">Investment view going into the print</w:t>
      </w:r>
    </w:p>
    <w:p>
      <w:pPr>
        <w:pStyle w:val="FirstParagraph"/>
      </w:pPr>
      <w:r>
        <w:t xml:space="preserve">Arista enters Q2 with an unusually strong demand backdrop: hyperscaler AI spending remains elevated, Ethernet is gaining credibility for AI fabrics, and management said last quarter that demand was the strongest it had seen. The debate is no longer whether demand exists, but whether Arista can secure enough components, convert deployments into recognized revenue, and protect margins while doing so.</w:t>
      </w:r>
    </w:p>
    <w:p>
      <w:pPr>
        <w:pStyle w:val="BodyText"/>
      </w:pPr>
      <w:r>
        <w:t xml:space="preserve">The setup is also demanding. At roughly</w:t>
      </w:r>
      <w:r>
        <w:t xml:space="preserve"> </w:t>
      </w:r>
      <w:r>
        <w:rPr>
          <w:b/>
          <w:bCs/>
        </w:rPr>
        <w:t xml:space="preserve">$185 per share, a $236 billion market capitalization, and about 62x trailing earnings</w:t>
      </w:r>
      <w:r>
        <w:t xml:space="preserve">, the stock already discounts substantial AI networking success. A small Q2 beat followed by unchanged guidance may therefore be insufficient; the likely swing factors are the Q3 outlook, another full-year raise, and confidence in the $3.5 billion AI revenue target.</w:t>
      </w:r>
    </w:p>
    <w:bookmarkEnd w:id="10"/>
    <w:bookmarkStart w:id="13" w:name="headline-expectations"/>
    <w:p>
      <w:pPr>
        <w:pStyle w:val="Heading2"/>
      </w:pPr>
      <w:r>
        <w:t xml:space="preserve">Headline expectations</w:t>
      </w:r>
    </w:p>
    <w:p>
      <w:pPr>
        <w:pStyle w:val="FirstParagraph"/>
      </w:pPr>
      <w:r>
        <w:t xml:space="preserve">Consensus feeds differ slightly, but generally cluster around</w:t>
      </w:r>
      <w:r>
        <w:t xml:space="preserve"> </w:t>
      </w:r>
      <m:oMath>
        <m:r>
          <m:t>2.83</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0.86–$0.89 of non-GAAP EPS</w:t>
      </w:r>
      <w:r>
        <w:t xml:space="preserve">. Management guided to approximately $2.8 billion and $0.88, respectively. (</w:t>
      </w:r>
      <w:hyperlink r:id="rId11">
        <w:r>
          <w:rPr>
            <w:rStyle w:val="Hyperlink"/>
          </w:rPr>
          <w:t xml:space="preserve">tipranks.com</w:t>
        </w:r>
      </w:hyperlink>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guide / expectation</w:t>
            </w:r>
          </w:p>
        </w:tc>
        <w:tc>
          <w:tcPr/>
          <w:p>
            <w:pPr>
              <w:pStyle w:val="Compact"/>
              <w:jc w:val="right"/>
            </w:pPr>
            <w:r>
              <w:t xml:space="preserve">Q1 2026 actual</w:t>
            </w:r>
          </w:p>
        </w:tc>
        <w:tc>
          <w:tcPr/>
          <w:p>
            <w:pPr>
              <w:pStyle w:val="Compact"/>
              <w:jc w:val="right"/>
            </w:pPr>
            <w:r>
              <w:t xml:space="preserve">Q2 2025 actual</w:t>
            </w:r>
          </w:p>
        </w:tc>
      </w:tr>
      <w:tr>
        <w:tc>
          <w:tcPr/>
          <w:p>
            <w:pPr>
              <w:pStyle w:val="Compact"/>
            </w:pPr>
            <w:r>
              <w:t xml:space="preserve">Revenue</w:t>
            </w:r>
          </w:p>
        </w:tc>
        <w:tc>
          <w:tcPr/>
          <w:p>
            <w:pPr>
              <w:pStyle w:val="Compact"/>
              <w:jc w:val="right"/>
            </w:pPr>
            <w:r>
              <w:t xml:space="preserve">Management:</w:t>
            </w:r>
            <w:r>
              <w:t xml:space="preserve"> </w:t>
            </w:r>
            <w:r>
              <w:rPr>
                <w:b/>
                <w:bCs/>
              </w:rPr>
              <w:t xml:space="preserve">~</w:t>
            </w:r>
            <m:oMath>
              <m:r>
                <m:t>2.80</m:t>
              </m:r>
              <m:r>
                <m:t>B</m:t>
              </m:r>
              <m:r>
                <m:rPr>
                  <m:sty m:val="p"/>
                </m:rPr>
                <m:t>*</m:t>
              </m:r>
              <m:r>
                <m:rPr>
                  <m:sty m:val="p"/>
                </m:rPr>
                <m:t>*</m:t>
              </m:r>
              <m:r>
                <m:rPr>
                  <m:sty m:val="p"/>
                </m:rPr>
                <m:t>;</m:t>
              </m:r>
              <m:r>
                <m:t>S</m:t>
              </m:r>
              <m:r>
                <m:t>t</m:t>
              </m:r>
              <m:r>
                <m:t>r</m:t>
              </m:r>
              <m:r>
                <m:t>e</m:t>
              </m:r>
              <m:r>
                <m:t>e</m:t>
              </m:r>
              <m:r>
                <m:t>t</m:t>
              </m:r>
              <m:r>
                <m:rPr>
                  <m:sty m:val="p"/>
                </m:rPr>
                <m:t>:</m:t>
              </m:r>
              <m:r>
                <m:rPr>
                  <m:sty m:val="p"/>
                </m:rPr>
                <m:t>*</m:t>
              </m:r>
              <m:r>
                <m:rPr>
                  <m:sty m:val="p"/>
                </m:rPr>
                <m:t>*</m:t>
              </m:r>
              <m:r>
                <m:t> </m:t>
              </m:r>
            </m:oMath>
            <w:r>
              <w:rPr>
                <w:b/>
                <w:bCs/>
              </w:rPr>
              <w:t xml:space="preserve">2.83B</w:t>
            </w:r>
          </w:p>
        </w:tc>
        <w:tc>
          <w:tcPr/>
          <w:p>
            <w:pPr>
              <w:pStyle w:val="Compact"/>
              <w:jc w:val="right"/>
            </w:pPr>
            <w:r>
              <w:t xml:space="preserve">$2.709B</w:t>
            </w:r>
          </w:p>
        </w:tc>
        <w:tc>
          <w:tcPr/>
          <w:p>
            <w:pPr>
              <w:pStyle w:val="Compact"/>
              <w:jc w:val="right"/>
            </w:pPr>
            <w:r>
              <w:t xml:space="preserve">$2.205B</w:t>
            </w:r>
          </w:p>
        </w:tc>
      </w:tr>
      <w:tr>
        <w:tc>
          <w:tcPr/>
          <w:p>
            <w:pPr>
              <w:pStyle w:val="Compact"/>
            </w:pPr>
            <w:r>
              <w:t xml:space="preserve">Revenue growth</w:t>
            </w:r>
          </w:p>
        </w:tc>
        <w:tc>
          <w:tcPr/>
          <w:p>
            <w:pPr>
              <w:pStyle w:val="Compact"/>
              <w:jc w:val="right"/>
            </w:pPr>
            <w:r>
              <w:t xml:space="preserve">Street implies</w:t>
            </w:r>
            <w:r>
              <w:t xml:space="preserve"> </w:t>
            </w:r>
            <w:r>
              <w:rPr>
                <w:b/>
                <w:bCs/>
              </w:rPr>
              <w:t xml:space="preserve">~28% YoY</w:t>
            </w:r>
          </w:p>
        </w:tc>
        <w:tc>
          <w:tcPr/>
          <w:p>
            <w:pPr>
              <w:pStyle w:val="Compact"/>
              <w:jc w:val="right"/>
            </w:pPr>
            <w:r>
              <w:t xml:space="preserve">35.1% YoY</w:t>
            </w:r>
          </w:p>
        </w:tc>
        <w:tc>
          <w:tcPr/>
          <w:p>
            <w:pPr>
              <w:pStyle w:val="Compact"/>
              <w:jc w:val="right"/>
            </w:pPr>
            <w:r>
              <w:t xml:space="preserve">30.4% YoY</w:t>
            </w:r>
          </w:p>
        </w:tc>
      </w:tr>
      <w:tr>
        <w:tc>
          <w:tcPr/>
          <w:p>
            <w:pPr>
              <w:pStyle w:val="Compact"/>
            </w:pPr>
            <w:r>
              <w:t xml:space="preserve">Non-GAAP EPS</w:t>
            </w:r>
          </w:p>
        </w:tc>
        <w:tc>
          <w:tcPr/>
          <w:p>
            <w:pPr>
              <w:pStyle w:val="Compact"/>
              <w:jc w:val="right"/>
            </w:pPr>
            <w:r>
              <w:t xml:space="preserve">Management:</w:t>
            </w:r>
            <w:r>
              <w:t xml:space="preserve"> </w:t>
            </w:r>
            <w:r>
              <w:rPr>
                <w:b/>
                <w:bCs/>
              </w:rPr>
              <w:t xml:space="preserve">~</w:t>
            </w:r>
            <m:oMath>
              <m:r>
                <m:t>0.88</m:t>
              </m:r>
              <m:r>
                <m:rPr>
                  <m:sty m:val="p"/>
                </m:rPr>
                <m:t>*</m:t>
              </m:r>
              <m:r>
                <m:rPr>
                  <m:sty m:val="p"/>
                </m:rPr>
                <m:t>*</m:t>
              </m:r>
              <m:r>
                <m:rPr>
                  <m:sty m:val="p"/>
                </m:rPr>
                <m:t>;</m:t>
              </m:r>
              <m:r>
                <m:t>S</m:t>
              </m:r>
              <m:r>
                <m:t>t</m:t>
              </m:r>
              <m:r>
                <m:t>r</m:t>
              </m:r>
              <m:r>
                <m:t>e</m:t>
              </m:r>
              <m:r>
                <m:t>e</m:t>
              </m:r>
              <m:r>
                <m:t>t</m:t>
              </m:r>
              <m:r>
                <m:rPr>
                  <m:sty m:val="p"/>
                </m:rPr>
                <m:t>:</m:t>
              </m:r>
              <m:r>
                <m:rPr>
                  <m:sty m:val="p"/>
                </m:rPr>
                <m:t>*</m:t>
              </m:r>
              <m:r>
                <m:rPr>
                  <m:sty m:val="p"/>
                </m:rPr>
                <m:t>*</m:t>
              </m:r>
              <m:r>
                <m:t> </m:t>
              </m:r>
            </m:oMath>
            <w:r>
              <w:rPr>
                <w:b/>
                <w:bCs/>
              </w:rPr>
              <w:t xml:space="preserve">0.89</w:t>
            </w:r>
          </w:p>
        </w:tc>
        <w:tc>
          <w:tcPr/>
          <w:p>
            <w:pPr>
              <w:pStyle w:val="Compact"/>
              <w:jc w:val="right"/>
            </w:pPr>
            <w:r>
              <w:t xml:space="preserve">$0.87</w:t>
            </w:r>
          </w:p>
        </w:tc>
        <w:tc>
          <w:tcPr/>
          <w:p>
            <w:pPr>
              <w:pStyle w:val="Compact"/>
              <w:jc w:val="right"/>
            </w:pPr>
            <w:r>
              <w:t xml:space="preserve">$0.73</w:t>
            </w:r>
          </w:p>
        </w:tc>
      </w:tr>
      <w:tr>
        <w:tc>
          <w:tcPr/>
          <w:p>
            <w:pPr>
              <w:pStyle w:val="Compact"/>
            </w:pPr>
            <w:r>
              <w:t xml:space="preserve">Non-GAAP gross margin</w:t>
            </w:r>
          </w:p>
        </w:tc>
        <w:tc>
          <w:tcPr/>
          <w:p>
            <w:pPr>
              <w:pStyle w:val="Compact"/>
              <w:jc w:val="right"/>
            </w:pPr>
            <w:r>
              <w:rPr>
                <w:b/>
                <w:bCs/>
              </w:rPr>
              <w:t xml:space="preserve">62%–63%</w:t>
            </w:r>
          </w:p>
        </w:tc>
        <w:tc>
          <w:tcPr/>
          <w:p>
            <w:pPr>
              <w:pStyle w:val="Compact"/>
              <w:jc w:val="right"/>
            </w:pPr>
            <w:r>
              <w:t xml:space="preserve">62.4%</w:t>
            </w:r>
          </w:p>
        </w:tc>
        <w:tc>
          <w:tcPr/>
          <w:p>
            <w:pPr>
              <w:pStyle w:val="Compact"/>
              <w:jc w:val="right"/>
            </w:pPr>
            <w:r>
              <w:t xml:space="preserve">65.6%</w:t>
            </w:r>
          </w:p>
        </w:tc>
      </w:tr>
      <w:tr>
        <w:tc>
          <w:tcPr/>
          <w:p>
            <w:pPr>
              <w:pStyle w:val="Compact"/>
            </w:pPr>
            <w:r>
              <w:t xml:space="preserve">Non-GAAP operating margin</w:t>
            </w:r>
          </w:p>
        </w:tc>
        <w:tc>
          <w:tcPr/>
          <w:p>
            <w:pPr>
              <w:pStyle w:val="Compact"/>
              <w:jc w:val="right"/>
            </w:pPr>
            <w:r>
              <w:rPr>
                <w:b/>
                <w:bCs/>
              </w:rPr>
              <w:t xml:space="preserve">46%–47%</w:t>
            </w:r>
          </w:p>
        </w:tc>
        <w:tc>
          <w:tcPr/>
          <w:p>
            <w:pPr>
              <w:pStyle w:val="Compact"/>
              <w:jc w:val="right"/>
            </w:pPr>
            <w:r>
              <w:t xml:space="preserve">47.8%</w:t>
            </w:r>
          </w:p>
        </w:tc>
        <w:tc>
          <w:tcPr/>
          <w:p>
            <w:pPr>
              <w:pStyle w:val="Compact"/>
              <w:jc w:val="right"/>
            </w:pPr>
            <w:r>
              <w:t xml:space="preserve">48.8%</w:t>
            </w:r>
          </w:p>
        </w:tc>
      </w:tr>
    </w:tbl>
    <w:p>
      <w:pPr>
        <w:pStyle w:val="BodyText"/>
      </w:pPr>
      <w:r>
        <w:t xml:space="preserve">Arista’s Q1 revenue, EPS and Q2 guidance are from its May results; prior-year Q2 figures provide the margin comparison. (</w:t>
      </w:r>
      <w:hyperlink r:id="rId12">
        <w:r>
          <w:rPr>
            <w:rStyle w:val="Hyperlink"/>
          </w:rPr>
          <w:t xml:space="preserve">investors.arista.com</w:t>
        </w:r>
      </w:hyperlink>
      <w:r>
        <w:t xml:space="preserve">)</w:t>
      </w:r>
    </w:p>
    <w:bookmarkEnd w:id="13"/>
    <w:bookmarkStart w:id="25" w:name="what-matters-most"/>
    <w:p>
      <w:pPr>
        <w:pStyle w:val="Heading2"/>
      </w:pPr>
      <w:r>
        <w:t xml:space="preserve">What matters most</w:t>
      </w:r>
    </w:p>
    <w:bookmarkStart w:id="15" w:name="X8c77e1416636fdef88e3d8cd7be4d804f0532fb"/>
    <w:p>
      <w:pPr>
        <w:pStyle w:val="Heading3"/>
      </w:pPr>
      <w:r>
        <w:t xml:space="preserve">1. Is another full-year guidance increase coming?</w:t>
      </w:r>
    </w:p>
    <w:p>
      <w:pPr>
        <w:pStyle w:val="FirstParagraph"/>
      </w:pPr>
      <w:r>
        <w:t xml:space="preserve">After Q1, management raised its 2026 revenue target to approximately</w:t>
      </w:r>
      <w:r>
        <w:t xml:space="preserve"> </w:t>
      </w:r>
      <m:oMath>
        <m:r>
          <m:t>11.5</m:t>
        </m:r>
        <m:r>
          <m:t>b</m:t>
        </m:r>
        <m:r>
          <m:t>i</m:t>
        </m:r>
        <m:r>
          <m:t>l</m:t>
        </m:r>
        <m:r>
          <m:t>l</m:t>
        </m:r>
        <m:r>
          <m:t>i</m:t>
        </m:r>
        <m:r>
          <m:t>o</m:t>
        </m:r>
        <m:r>
          <m:t>n</m:t>
        </m:r>
        <m:r>
          <m:rPr>
            <m:sty m:val="p"/>
          </m:rPr>
          <m:t>*</m:t>
        </m:r>
        <m:r>
          <m:rPr>
            <m:sty m:val="p"/>
          </m:rPr>
          <m:t>*</m:t>
        </m:r>
        <m:r>
          <m:rPr>
            <m:sty m:val="p"/>
          </m:rPr>
          <m:t>,</m:t>
        </m:r>
        <m:r>
          <m:t>o</m:t>
        </m:r>
        <m:r>
          <m:t>r</m:t>
        </m:r>
        <m:r>
          <m:t>27.7</m:t>
        </m:r>
      </m:oMath>
      <w:r>
        <w:rPr>
          <w:b/>
          <w:bCs/>
        </w:rPr>
        <w:t xml:space="preserve">3.5 billion</w:t>
      </w:r>
      <w:r>
        <w:t xml:space="preserve">, more than double the prior year. (</w:t>
      </w:r>
      <w:hyperlink r:id="rId14">
        <w:r>
          <w:rPr>
            <w:rStyle w:val="Hyperlink"/>
          </w:rPr>
          <w:t xml:space="preserve">finance.yahoo.com</w:t>
        </w:r>
      </w:hyperlink>
      <w:r>
        <w:t xml:space="preserve">)</w:t>
      </w:r>
    </w:p>
    <w:p>
      <w:pPr>
        <w:pStyle w:val="BodyText"/>
      </w:pPr>
      <w:r>
        <w:t xml:space="preserve">The arithmetic establishes a fairly clear forward bar:</w:t>
      </w:r>
    </w:p>
    <w:p>
      <w:pPr>
        <w:pStyle w:val="Compact"/>
        <w:numPr>
          <w:ilvl w:val="0"/>
          <w:numId w:val="1001"/>
        </w:numPr>
      </w:pPr>
      <w:r>
        <w:t xml:space="preserve">Q1 revenue:</w:t>
      </w:r>
      <w:r>
        <w:t xml:space="preserve"> </w:t>
      </w:r>
      <w:r>
        <w:rPr>
          <w:b/>
          <w:bCs/>
        </w:rPr>
        <w:t xml:space="preserve">$2.709 billion</w:t>
      </w:r>
    </w:p>
    <w:p>
      <w:pPr>
        <w:pStyle w:val="Compact"/>
        <w:numPr>
          <w:ilvl w:val="0"/>
          <w:numId w:val="1001"/>
        </w:numPr>
      </w:pPr>
      <w:r>
        <w:t xml:space="preserve">Q2 guide:</w:t>
      </w:r>
      <w:r>
        <w:t xml:space="preserve"> </w:t>
      </w:r>
      <w:r>
        <w:rPr>
          <w:b/>
          <w:bCs/>
        </w:rPr>
        <w:t xml:space="preserve">$2.8 billion</w:t>
      </w:r>
    </w:p>
    <w:p>
      <w:pPr>
        <w:pStyle w:val="Compact"/>
        <w:numPr>
          <w:ilvl w:val="0"/>
          <w:numId w:val="1001"/>
        </w:numPr>
      </w:pPr>
      <w:r>
        <w:t xml:space="preserve">Revenue still needed to reach</w:t>
      </w:r>
      <w:r>
        <w:t xml:space="preserve"> </w:t>
      </w:r>
      <m:oMath>
        <m:r>
          <m:t>11.5</m:t>
        </m:r>
        <m:r>
          <m:t>b</m:t>
        </m:r>
        <m:r>
          <m:t>i</m:t>
        </m:r>
        <m:r>
          <m:t>l</m:t>
        </m:r>
        <m:r>
          <m:t>l</m:t>
        </m:r>
        <m:r>
          <m:t>i</m:t>
        </m:r>
        <m:r>
          <m:t>o</m:t>
        </m:r>
        <m:r>
          <m:t>n</m:t>
        </m:r>
        <m:r>
          <m:rPr>
            <m:sty m:val="p"/>
          </m:rPr>
          <m:t>:</m:t>
        </m:r>
        <m:r>
          <m:t>a</m:t>
        </m:r>
        <m:r>
          <m:t>p</m:t>
        </m:r>
        <m:r>
          <m:t>p</m:t>
        </m:r>
        <m:r>
          <m:t>r</m:t>
        </m:r>
        <m:r>
          <m:t>o</m:t>
        </m:r>
        <m:r>
          <m:t>x</m:t>
        </m:r>
        <m:r>
          <m:t>i</m:t>
        </m:r>
        <m:r>
          <m:t>m</m:t>
        </m:r>
        <m:r>
          <m:t>a</m:t>
        </m:r>
        <m:r>
          <m:t>t</m:t>
        </m:r>
        <m:r>
          <m:t>e</m:t>
        </m:r>
        <m:r>
          <m:t>l</m:t>
        </m:r>
        <m:r>
          <m:t>y</m:t>
        </m:r>
        <m:r>
          <m:rPr>
            <m:sty m:val="p"/>
          </m:rPr>
          <m:t>*</m:t>
        </m:r>
        <m:r>
          <m:rPr>
            <m:sty m:val="p"/>
          </m:rPr>
          <m:t>*</m:t>
        </m:r>
      </m:oMath>
      <w:r>
        <w:t xml:space="preserve">5.99 billion**</w:t>
      </w:r>
    </w:p>
    <w:p>
      <w:pPr>
        <w:pStyle w:val="Compact"/>
        <w:numPr>
          <w:ilvl w:val="0"/>
          <w:numId w:val="1001"/>
        </w:numPr>
      </w:pPr>
      <w:r>
        <w:t xml:space="preserve">Implied average quarterly revenue in H2: approximately</w:t>
      </w:r>
      <w:r>
        <w:t xml:space="preserve"> </w:t>
      </w:r>
      <w:r>
        <w:rPr>
          <w:b/>
          <w:bCs/>
        </w:rPr>
        <w:t xml:space="preserve">$3.0 billion</w:t>
      </w:r>
    </w:p>
    <w:p>
      <w:pPr>
        <w:pStyle w:val="FirstParagraph"/>
      </w:pPr>
      <w:r>
        <w:t xml:space="preserve">Accordingly, a</w:t>
      </w:r>
      <w:r>
        <w:t xml:space="preserve"> </w:t>
      </w:r>
      <w:r>
        <w:rPr>
          <w:b/>
          <w:bCs/>
        </w:rPr>
        <w:t xml:space="preserve">Q3 guide near or above $3.0 billion</w:t>
      </w:r>
      <w:r>
        <w:t xml:space="preserve"> </w:t>
      </w:r>
      <w:r>
        <w:t xml:space="preserve">would keep the annual target comfortably on track. Materially less than $3.0 billion—without a corresponding full-year reduction—would imply a steeper Q4 ramp.</w:t>
      </w:r>
    </w:p>
    <w:p>
      <w:pPr>
        <w:pStyle w:val="BodyText"/>
      </w:pPr>
      <w:r>
        <w:t xml:space="preserve">Investors should distinguish among three outcomes:</w:t>
      </w:r>
    </w:p>
    <w:p>
      <w:pPr>
        <w:pStyle w:val="Compact"/>
        <w:numPr>
          <w:ilvl w:val="0"/>
          <w:numId w:val="1002"/>
        </w:numPr>
      </w:pPr>
      <w:r>
        <w:rPr>
          <w:b/>
          <w:bCs/>
        </w:rPr>
        <w:t xml:space="preserve">Q2 beat plus another full-year raise:</w:t>
      </w:r>
      <w:r>
        <w:t xml:space="preserve"> </w:t>
      </w:r>
      <w:r>
        <w:t xml:space="preserve">Clearly positive.</w:t>
      </w:r>
    </w:p>
    <w:p>
      <w:pPr>
        <w:pStyle w:val="Compact"/>
        <w:numPr>
          <w:ilvl w:val="0"/>
          <w:numId w:val="1002"/>
        </w:numPr>
      </w:pPr>
      <w:r>
        <w:rPr>
          <w:b/>
          <w:bCs/>
        </w:rPr>
        <w:t xml:space="preserve">Q2 beat, Q3 near $3 billion and annual guidance maintained:</w:t>
      </w:r>
      <w:r>
        <w:t xml:space="preserve"> </w:t>
      </w:r>
      <w:r>
        <w:t xml:space="preserve">Fundamentally sound, but potentially underwhelming at the current valuation.</w:t>
      </w:r>
    </w:p>
    <w:p>
      <w:pPr>
        <w:pStyle w:val="Compact"/>
        <w:numPr>
          <w:ilvl w:val="0"/>
          <w:numId w:val="1002"/>
        </w:numPr>
      </w:pPr>
      <w:r>
        <w:rPr>
          <w:b/>
          <w:bCs/>
        </w:rPr>
        <w:t xml:space="preserve">Limited beat and Q3 below the implied run rate:</w:t>
      </w:r>
      <w:r>
        <w:t xml:space="preserve"> </w:t>
      </w:r>
      <w:r>
        <w:t xml:space="preserve">Likely interpreted as supply, acceptance-timing or customer-deployment friction.</w:t>
      </w:r>
    </w:p>
    <w:bookmarkEnd w:id="15"/>
    <w:bookmarkStart w:id="17" w:name="X9fdeca40ccad0f19d235e46632e75039f9093a4"/>
    <w:p>
      <w:pPr>
        <w:pStyle w:val="Heading3"/>
      </w:pPr>
      <w:r>
        <w:t xml:space="preserve">2. Demand is not the issue—supply conversion is</w:t>
      </w:r>
    </w:p>
    <w:p>
      <w:pPr>
        <w:pStyle w:val="FirstParagraph"/>
      </w:pPr>
      <w:r>
        <w:t xml:space="preserve">Last quarter, management said demand was outstripping supply and described the shortages as potentially lasting one to two years. Constraints had broadened beyond memory to wafers, switching silicon, CPUs and optics, with lead times on some components around 52 weeks.</w:t>
      </w:r>
    </w:p>
    <w:p>
      <w:pPr>
        <w:pStyle w:val="BodyText"/>
      </w:pPr>
      <w:r>
        <w:t xml:space="preserve">Arista ended Q1 with:</w:t>
      </w:r>
    </w:p>
    <w:p>
      <w:pPr>
        <w:pStyle w:val="Compact"/>
        <w:numPr>
          <w:ilvl w:val="0"/>
          <w:numId w:val="1003"/>
        </w:numPr>
      </w:pPr>
      <w:r>
        <w:rPr>
          <w:b/>
          <w:bCs/>
        </w:rPr>
        <w:t xml:space="preserve">$8.9 billion of purchase commitments</w:t>
      </w:r>
    </w:p>
    <w:p>
      <w:pPr>
        <w:pStyle w:val="Compact"/>
        <w:numPr>
          <w:ilvl w:val="0"/>
          <w:numId w:val="1003"/>
        </w:numPr>
      </w:pPr>
      <w:r>
        <w:rPr>
          <w:b/>
          <w:bCs/>
        </w:rPr>
        <w:t xml:space="preserve">$2.38 billion of inventory</w:t>
      </w:r>
    </w:p>
    <w:p>
      <w:pPr>
        <w:pStyle w:val="Compact"/>
        <w:numPr>
          <w:ilvl w:val="0"/>
          <w:numId w:val="1003"/>
        </w:numPr>
      </w:pPr>
      <w:r>
        <w:t xml:space="preserve">Approximately</w:t>
      </w:r>
      <w:r>
        <w:t xml:space="preserve"> </w:t>
      </w:r>
      <w:r>
        <w:rPr>
          <w:b/>
          <w:bCs/>
        </w:rPr>
        <w:t xml:space="preserve">$12.4 billion of cash and marketable securities</w:t>
      </w:r>
    </w:p>
    <w:p>
      <w:pPr>
        <w:pStyle w:val="Compact"/>
        <w:numPr>
          <w:ilvl w:val="0"/>
          <w:numId w:val="1003"/>
        </w:numPr>
      </w:pPr>
      <w:r>
        <w:rPr>
          <w:b/>
          <w:bCs/>
        </w:rPr>
        <w:t xml:space="preserve">$1.69 billion of quarterly operating cash flow</w:t>
      </w:r>
    </w:p>
    <w:p>
      <w:pPr>
        <w:pStyle w:val="FirstParagraph"/>
      </w:pPr>
      <w:r>
        <w:t xml:space="preserve">The commitments demonstrate confidence and improve Arista’s ability to reserve supply, but also create execution risk if customer schedules or product architectures change. The 10-Q warns that higher commitments, constrained silicon and customer acceptance periods can produce both product shortages and excess or obsolete inventory. (</w:t>
      </w:r>
      <w:hyperlink r:id="rId16">
        <w:r>
          <w:rPr>
            <w:rStyle w:val="Hyperlink"/>
          </w:rPr>
          <w:t xml:space="preserve">sec.gov</w:t>
        </w:r>
      </w:hyperlink>
      <w:r>
        <w:t xml:space="preserve">)</w:t>
      </w:r>
    </w:p>
    <w:p>
      <w:pPr>
        <w:pStyle w:val="BodyText"/>
      </w:pPr>
      <w:r>
        <w:t xml:space="preserve">Key questions for management:</w:t>
      </w:r>
    </w:p>
    <w:p>
      <w:pPr>
        <w:pStyle w:val="Compact"/>
        <w:numPr>
          <w:ilvl w:val="0"/>
          <w:numId w:val="1004"/>
        </w:numPr>
      </w:pPr>
      <w:r>
        <w:t xml:space="preserve">Has component availability improved, worsened or remained unchanged since May?</w:t>
      </w:r>
    </w:p>
    <w:p>
      <w:pPr>
        <w:pStyle w:val="Compact"/>
        <w:numPr>
          <w:ilvl w:val="0"/>
          <w:numId w:val="1004"/>
        </w:numPr>
      </w:pPr>
      <w:r>
        <w:t xml:space="preserve">Are supplier decommitments still occurring?</w:t>
      </w:r>
    </w:p>
    <w:p>
      <w:pPr>
        <w:pStyle w:val="Compact"/>
        <w:numPr>
          <w:ilvl w:val="0"/>
          <w:numId w:val="1004"/>
        </w:numPr>
      </w:pPr>
      <w:r>
        <w:t xml:space="preserve">Is the $11.5 billion outlook fundamentally</w:t>
      </w:r>
      <w:r>
        <w:t xml:space="preserve"> </w:t>
      </w:r>
      <w:r>
        <w:rPr>
          <w:b/>
          <w:bCs/>
        </w:rPr>
        <w:t xml:space="preserve">supply-capped</w:t>
      </w:r>
      <w:r>
        <w:t xml:space="preserve">?</w:t>
      </w:r>
    </w:p>
    <w:p>
      <w:pPr>
        <w:pStyle w:val="Compact"/>
        <w:numPr>
          <w:ilvl w:val="0"/>
          <w:numId w:val="1004"/>
        </w:numPr>
      </w:pPr>
      <w:r>
        <w:t xml:space="preserve">How much visibility does Arista have into 2027?</w:t>
      </w:r>
    </w:p>
    <w:p>
      <w:pPr>
        <w:pStyle w:val="Compact"/>
        <w:numPr>
          <w:ilvl w:val="0"/>
          <w:numId w:val="1004"/>
        </w:numPr>
      </w:pPr>
      <w:r>
        <w:t xml:space="preserve">Is the company prioritizing lower-margin hyperscaler and AI shipments over enterprise demand?</w:t>
      </w:r>
    </w:p>
    <w:p>
      <w:pPr>
        <w:pStyle w:val="FirstParagraph"/>
      </w:pPr>
      <w:r>
        <w:t xml:space="preserve">A full-year raise accompanied by worsening supply commentary would still be constructive, because it would imply underlying demand exceeds reported revenue. But it could also shift investor attention toward 2027 execution.</w:t>
      </w:r>
    </w:p>
    <w:bookmarkEnd w:id="17"/>
    <w:bookmarkStart w:id="18" w:name="Xd8b249edb27abff4e77f8fcfd0515b730fcf962"/>
    <w:p>
      <w:pPr>
        <w:pStyle w:val="Heading3"/>
      </w:pPr>
      <w:r>
        <w:t xml:space="preserve">3. Gross margin may matter nearly as much as revenue</w:t>
      </w:r>
    </w:p>
    <w:p>
      <w:pPr>
        <w:pStyle w:val="FirstParagraph"/>
      </w:pPr>
      <w:r>
        <w:t xml:space="preserve">Q1 non-GAAP gross margin fell to</w:t>
      </w:r>
      <w:r>
        <w:t xml:space="preserve"> </w:t>
      </w:r>
      <w:r>
        <w:rPr>
          <w:b/>
          <w:bCs/>
        </w:rPr>
        <w:t xml:space="preserve">62.4%</w:t>
      </w:r>
      <w:r>
        <w:t xml:space="preserve">, versus 64.1% a year earlier. The Q2 guide of 62%–63% compares with an unusually strong 65.6% in Q2 2025. (</w:t>
      </w:r>
      <w:hyperlink r:id="rId12">
        <w:r>
          <w:rPr>
            <w:rStyle w:val="Hyperlink"/>
          </w:rPr>
          <w:t xml:space="preserve">investors.arista.com</w:t>
        </w:r>
      </w:hyperlink>
      <w:r>
        <w:t xml:space="preserve">)</w:t>
      </w:r>
    </w:p>
    <w:p>
      <w:pPr>
        <w:pStyle w:val="BodyText"/>
      </w:pPr>
      <w:r>
        <w:t xml:space="preserve">The pressure comes from:</w:t>
      </w:r>
    </w:p>
    <w:p>
      <w:pPr>
        <w:pStyle w:val="Compact"/>
        <w:numPr>
          <w:ilvl w:val="0"/>
          <w:numId w:val="1005"/>
        </w:numPr>
      </w:pPr>
      <w:r>
        <w:t xml:space="preserve">A greater mix of large cloud and AI customers, which receive lower pricing.</w:t>
      </w:r>
    </w:p>
    <w:p>
      <w:pPr>
        <w:pStyle w:val="Compact"/>
        <w:numPr>
          <w:ilvl w:val="0"/>
          <w:numId w:val="1005"/>
        </w:numPr>
      </w:pPr>
      <w:r>
        <w:t xml:space="preserve">Higher memory, wafer and switching-silicon costs.</w:t>
      </w:r>
    </w:p>
    <w:p>
      <w:pPr>
        <w:pStyle w:val="Compact"/>
        <w:numPr>
          <w:ilvl w:val="0"/>
          <w:numId w:val="1005"/>
        </w:numPr>
      </w:pPr>
      <w:r>
        <w:t xml:space="preserve">Expedite fees and multiyear supply agreements.</w:t>
      </w:r>
    </w:p>
    <w:p>
      <w:pPr>
        <w:pStyle w:val="Compact"/>
        <w:numPr>
          <w:ilvl w:val="0"/>
          <w:numId w:val="1005"/>
        </w:numPr>
      </w:pPr>
      <w:r>
        <w:t xml:space="preserve">Arista’s decision to absorb some input inflation rather than immediately reprice its backlog.</w:t>
      </w:r>
    </w:p>
    <w:p>
      <w:pPr>
        <w:pStyle w:val="Compact"/>
        <w:numPr>
          <w:ilvl w:val="0"/>
          <w:numId w:val="1005"/>
        </w:numPr>
      </w:pPr>
      <w:r>
        <w:t xml:space="preserve">Potentially lower-margin new products during their initial ramp.</w:t>
      </w:r>
    </w:p>
    <w:p>
      <w:pPr>
        <w:pStyle w:val="FirstParagraph"/>
      </w:pPr>
      <w:r>
        <w:t xml:space="preserve">The key distinction is whether gross-margin pressure is predominantly</w:t>
      </w:r>
      <w:r>
        <w:t xml:space="preserve"> </w:t>
      </w:r>
      <w:r>
        <w:rPr>
          <w:b/>
          <w:bCs/>
        </w:rPr>
        <w:t xml:space="preserve">mix-driven</w:t>
      </w:r>
      <w:r>
        <w:t xml:space="preserve"> </w:t>
      </w:r>
      <w:r>
        <w:t xml:space="preserve">or whether component inflation is becoming structurally worse. Mix pressure is easier to accept because it accompanies strong revenue and AI share gains. Uncontrolled supply-chain inflation would be more concerning.</w:t>
      </w:r>
    </w:p>
    <w:p>
      <w:pPr>
        <w:pStyle w:val="BodyText"/>
      </w:pPr>
      <w:r>
        <w:t xml:space="preserve">A result near</w:t>
      </w:r>
      <w:r>
        <w:t xml:space="preserve"> </w:t>
      </w:r>
      <w:r>
        <w:rPr>
          <w:b/>
          <w:bCs/>
        </w:rPr>
        <w:t xml:space="preserve">62.5% or better</w:t>
      </w:r>
      <w:r>
        <w:t xml:space="preserve">, paired with strong revenue, should be viewed as healthy. A sub-62% result or weaker Q3 margin outlook could overshadow a modest top-line beat.</w:t>
      </w:r>
    </w:p>
    <w:bookmarkEnd w:id="18"/>
    <w:bookmarkStart w:id="20" w:name="X86308979396f55e95c11d92d4a281391624d22c"/>
    <w:p>
      <w:pPr>
        <w:pStyle w:val="Heading3"/>
      </w:pPr>
      <w:r>
        <w:t xml:space="preserve">4. Evidence behind the $3.5 billion AI target</w:t>
      </w:r>
    </w:p>
    <w:p>
      <w:pPr>
        <w:pStyle w:val="FirstParagraph"/>
      </w:pPr>
      <w:r>
        <w:t xml:space="preserve">Investors should listen for quantitative or qualitative updates in four areas:</w:t>
      </w:r>
    </w:p>
    <w:p>
      <w:pPr>
        <w:pStyle w:val="Compact"/>
        <w:numPr>
          <w:ilvl w:val="0"/>
          <w:numId w:val="1006"/>
        </w:numPr>
      </w:pPr>
      <w:r>
        <w:rPr>
          <w:b/>
          <w:bCs/>
        </w:rPr>
        <w:t xml:space="preserve">800G deployment velocity:</w:t>
      </w:r>
      <w:r>
        <w:t xml:space="preserve"> </w:t>
      </w:r>
      <w:r>
        <w:t xml:space="preserve">Arista reported more than 100 cumulative customers using 800G Ethernet.</w:t>
      </w:r>
    </w:p>
    <w:p>
      <w:pPr>
        <w:pStyle w:val="Compact"/>
        <w:numPr>
          <w:ilvl w:val="0"/>
          <w:numId w:val="1006"/>
        </w:numPr>
      </w:pPr>
      <w:r>
        <w:rPr>
          <w:b/>
          <w:bCs/>
        </w:rPr>
        <w:t xml:space="preserve">Scale-out:</w:t>
      </w:r>
      <w:r>
        <w:t xml:space="preserve"> </w:t>
      </w:r>
      <w:r>
        <w:t xml:space="preserve">The current core opportunity connecting large accelerator clusters.</w:t>
      </w:r>
    </w:p>
    <w:p>
      <w:pPr>
        <w:pStyle w:val="Compact"/>
        <w:numPr>
          <w:ilvl w:val="0"/>
          <w:numId w:val="1006"/>
        </w:numPr>
      </w:pPr>
      <w:r>
        <w:rPr>
          <w:b/>
          <w:bCs/>
        </w:rPr>
        <w:t xml:space="preserve">Scale-across:</w:t>
      </w:r>
      <w:r>
        <w:t xml:space="preserve"> </w:t>
      </w:r>
      <w:r>
        <w:t xml:space="preserve">Networking between AI clusters and data centers; management previously said this could represent at least one-third of 2026 AI revenue.</w:t>
      </w:r>
    </w:p>
    <w:p>
      <w:pPr>
        <w:pStyle w:val="Compact"/>
        <w:numPr>
          <w:ilvl w:val="0"/>
          <w:numId w:val="1006"/>
        </w:numPr>
      </w:pPr>
      <w:r>
        <w:rPr>
          <w:b/>
          <w:bCs/>
        </w:rPr>
        <w:t xml:space="preserve">New hyperscaler concentration:</w:t>
      </w:r>
      <w:r>
        <w:t xml:space="preserve"> </w:t>
      </w:r>
      <w:r>
        <w:t xml:space="preserve">Management expected one—and potentially two—additional customers to exceed 10% of revenue based on demand, although shipment constraints could affect whether they cross that threshold.</w:t>
      </w:r>
    </w:p>
    <w:p>
      <w:pPr>
        <w:pStyle w:val="FirstParagraph"/>
      </w:pPr>
      <w:r>
        <w:t xml:space="preserve">The June introduction of Arista’s 1.6-terabit 7060X7 portfolio improves the longer-term product story, but much of the production availability begins in 2027. Thus, it is more relevant to 2027–2028 expectations than to the Q2 result itself. (</w:t>
      </w:r>
      <w:hyperlink r:id="rId19">
        <w:r>
          <w:rPr>
            <w:rStyle w:val="Hyperlink"/>
          </w:rPr>
          <w:t xml:space="preserve">investors.arista.com</w:t>
        </w:r>
      </w:hyperlink>
      <w:r>
        <w:t xml:space="preserve">)</w:t>
      </w:r>
    </w:p>
    <w:p>
      <w:pPr>
        <w:pStyle w:val="BodyText"/>
      </w:pPr>
      <w:r>
        <w:t xml:space="preserve">The most bullish commentary would include:</w:t>
      </w:r>
    </w:p>
    <w:p>
      <w:pPr>
        <w:pStyle w:val="Compact"/>
        <w:numPr>
          <w:ilvl w:val="0"/>
          <w:numId w:val="1007"/>
        </w:numPr>
      </w:pPr>
      <w:r>
        <w:t xml:space="preserve">Increased confidence in—or another raise to—the $3.5 billion AI target.</w:t>
      </w:r>
    </w:p>
    <w:p>
      <w:pPr>
        <w:pStyle w:val="Compact"/>
        <w:numPr>
          <w:ilvl w:val="0"/>
          <w:numId w:val="1007"/>
        </w:numPr>
      </w:pPr>
      <w:r>
        <w:t xml:space="preserve">More deployments converting from trials to production.</w:t>
      </w:r>
    </w:p>
    <w:p>
      <w:pPr>
        <w:pStyle w:val="Compact"/>
        <w:numPr>
          <w:ilvl w:val="0"/>
          <w:numId w:val="1007"/>
        </w:numPr>
      </w:pPr>
      <w:r>
        <w:t xml:space="preserve">Additional white-box or InfiniBand displacement.</w:t>
      </w:r>
    </w:p>
    <w:p>
      <w:pPr>
        <w:pStyle w:val="Compact"/>
        <w:numPr>
          <w:ilvl w:val="0"/>
          <w:numId w:val="1007"/>
        </w:numPr>
      </w:pPr>
      <w:r>
        <w:t xml:space="preserve">Scale-across becoming material faster than expected.</w:t>
      </w:r>
    </w:p>
    <w:p>
      <w:pPr>
        <w:pStyle w:val="Compact"/>
        <w:numPr>
          <w:ilvl w:val="0"/>
          <w:numId w:val="1007"/>
        </w:numPr>
      </w:pPr>
      <w:r>
        <w:t xml:space="preserve">Clear progress with non-Nvidia accelerators, including AMD and custom silicon.</w:t>
      </w:r>
    </w:p>
    <w:bookmarkEnd w:id="20"/>
    <w:bookmarkStart w:id="21" w:name="X819014e926edf66f7c6ab009913c9e2cf2b38a0"/>
    <w:p>
      <w:pPr>
        <w:pStyle w:val="Heading3"/>
      </w:pPr>
      <w:r>
        <w:t xml:space="preserve">5. Deferred revenue is a demand signal, but not clean backlog</w:t>
      </w:r>
    </w:p>
    <w:p>
      <w:pPr>
        <w:pStyle w:val="FirstParagraph"/>
      </w:pPr>
      <w:r>
        <w:t xml:space="preserve">Total deferred revenue reached approximately</w:t>
      </w:r>
      <w:r>
        <w:t xml:space="preserve"> </w:t>
      </w:r>
      <m:oMath>
        <m:r>
          <m:t>6.2</m:t>
        </m:r>
        <m:r>
          <m:t>b</m:t>
        </m:r>
        <m:r>
          <m:t>i</m:t>
        </m:r>
        <m:r>
          <m:t>l</m:t>
        </m:r>
        <m:r>
          <m:t>l</m:t>
        </m:r>
        <m:r>
          <m:t>i</m:t>
        </m:r>
        <m:r>
          <m:t>o</m:t>
        </m:r>
        <m:r>
          <m:t>n</m:t>
        </m:r>
        <m:r>
          <m:rPr>
            <m:sty m:val="p"/>
          </m:rPr>
          <m:t>*</m:t>
        </m:r>
        <m:r>
          <m:rPr>
            <m:sty m:val="p"/>
          </m:rPr>
          <m:t>*</m:t>
        </m:r>
        <m:r>
          <m:t>i</m:t>
        </m:r>
        <m:r>
          <m:t>n</m:t>
        </m:r>
        <m:r>
          <m:t>Q</m:t>
        </m:r>
        <m:r>
          <m:t>1</m:t>
        </m:r>
        <m:r>
          <m:rPr>
            <m:sty m:val="p"/>
          </m:rPr>
          <m:t>,</m:t>
        </m:r>
        <m:r>
          <m:t>d</m:t>
        </m:r>
        <m:r>
          <m:t>r</m:t>
        </m:r>
        <m:r>
          <m:t>i</m:t>
        </m:r>
        <m:r>
          <m:t>v</m:t>
        </m:r>
        <m:r>
          <m:t>e</m:t>
        </m:r>
        <m:r>
          <m:t>n</m:t>
        </m:r>
        <m:r>
          <m:t>i</m:t>
        </m:r>
        <m:r>
          <m:t>n</m:t>
        </m:r>
        <m:r>
          <m:t>p</m:t>
        </m:r>
        <m:r>
          <m:t>a</m:t>
        </m:r>
        <m:r>
          <m:t>r</m:t>
        </m:r>
        <m:r>
          <m:t>t</m:t>
        </m:r>
        <m:r>
          <m:t>b</m:t>
        </m:r>
        <m:r>
          <m:t>y</m:t>
        </m:r>
        <m:r>
          <m:t>p</m:t>
        </m:r>
        <m:r>
          <m:t>r</m:t>
        </m:r>
        <m:r>
          <m:t>o</m:t>
        </m:r>
        <m:r>
          <m:t>d</m:t>
        </m:r>
        <m:r>
          <m:t>u</m:t>
        </m:r>
        <m:r>
          <m:t>c</m:t>
        </m:r>
        <m:r>
          <m:t>t</m:t>
        </m:r>
        <m:r>
          <m:t>s</m:t>
        </m:r>
        <m:r>
          <m:t>h</m:t>
        </m:r>
        <m:r>
          <m:t>i</m:t>
        </m:r>
        <m:r>
          <m:t>p</m:t>
        </m:r>
        <m:r>
          <m:t>m</m:t>
        </m:r>
        <m:r>
          <m:t>e</m:t>
        </m:r>
        <m:r>
          <m:t>n</m:t>
        </m:r>
        <m:r>
          <m:t>t</m:t>
        </m:r>
        <m:r>
          <m:t>s</m:t>
        </m:r>
        <m:r>
          <m:t>s</m:t>
        </m:r>
        <m:r>
          <m:t>u</m:t>
        </m:r>
        <m:r>
          <m:t>b</m:t>
        </m:r>
        <m:r>
          <m:t>j</m:t>
        </m:r>
        <m:r>
          <m:t>e</m:t>
        </m:r>
        <m:r>
          <m:t>c</m:t>
        </m:r>
        <m:r>
          <m:t>t</m:t>
        </m:r>
        <m:r>
          <m:t>t</m:t>
        </m:r>
        <m:r>
          <m:t>o</m:t>
        </m:r>
        <m:r>
          <m:t>c</m:t>
        </m:r>
        <m:r>
          <m:t>u</m:t>
        </m:r>
        <m:r>
          <m:t>s</m:t>
        </m:r>
        <m:r>
          <m:t>t</m:t>
        </m:r>
        <m:r>
          <m:t>o</m:t>
        </m:r>
        <m:r>
          <m:t>m</m:t>
        </m:r>
        <m:r>
          <m:t>e</m:t>
        </m:r>
        <m:r>
          <m:t>r</m:t>
        </m:r>
        <m:r>
          <m:t>a</m:t>
        </m:r>
        <m:r>
          <m:t>c</m:t>
        </m:r>
        <m:r>
          <m:t>c</m:t>
        </m:r>
        <m:r>
          <m:t>e</m:t>
        </m:r>
        <m:r>
          <m:t>p</m:t>
        </m:r>
        <m:r>
          <m:t>t</m:t>
        </m:r>
        <m:r>
          <m:t>a</m:t>
        </m:r>
        <m:r>
          <m:t>n</m:t>
        </m:r>
        <m:r>
          <m:t>c</m:t>
        </m:r>
        <m:r>
          <m:t>e</m:t>
        </m:r>
        <m:r>
          <m:t>c</m:t>
        </m:r>
        <m:r>
          <m:t>o</m:t>
        </m:r>
        <m:r>
          <m:t>n</m:t>
        </m:r>
        <m:r>
          <m:t>d</m:t>
        </m:r>
        <m:r>
          <m:t>i</m:t>
        </m:r>
        <m:r>
          <m:t>t</m:t>
        </m:r>
        <m:r>
          <m:t>i</m:t>
        </m:r>
        <m:r>
          <m:t>o</m:t>
        </m:r>
        <m:r>
          <m:t>n</m:t>
        </m:r>
        <m:r>
          <m:t>s</m:t>
        </m:r>
        <m:r>
          <m:rPr>
            <m:sty m:val="p"/>
          </m:rPr>
          <m:t>.</m:t>
        </m:r>
        <m:r>
          <m:t>T</m:t>
        </m:r>
        <m:r>
          <m:t>h</m:t>
        </m:r>
        <m:r>
          <m:t>e</m:t>
        </m:r>
        <m:r>
          <m:t>b</m:t>
        </m:r>
        <m:r>
          <m:t>r</m:t>
        </m:r>
        <m:r>
          <m:t>o</m:t>
        </m:r>
        <m:r>
          <m:t>a</m:t>
        </m:r>
        <m:r>
          <m:t>d</m:t>
        </m:r>
        <m:r>
          <m:t>e</m:t>
        </m:r>
        <m:r>
          <m:t>r</m:t>
        </m:r>
        <m:r>
          <m:t>t</m:t>
        </m:r>
        <m:r>
          <m:t>o</m:t>
        </m:r>
        <m:r>
          <m:t>t</m:t>
        </m:r>
        <m:r>
          <m:t>a</m:t>
        </m:r>
        <m:r>
          <m:t>l</m:t>
        </m:r>
        <m:r>
          <m:t>o</m:t>
        </m:r>
        <m:r>
          <m:t>f</m:t>
        </m:r>
        <m:r>
          <m:t>c</m:t>
        </m:r>
        <m:r>
          <m:t>o</m:t>
        </m:r>
        <m:r>
          <m:t>n</m:t>
        </m:r>
        <m:r>
          <m:t>t</m:t>
        </m:r>
        <m:r>
          <m:t>r</m:t>
        </m:r>
        <m:r>
          <m:t>a</m:t>
        </m:r>
        <m:r>
          <m:t>c</m:t>
        </m:r>
        <m:r>
          <m:t>t</m:t>
        </m:r>
        <m:r>
          <m:t>l</m:t>
        </m:r>
        <m:r>
          <m:t>i</m:t>
        </m:r>
        <m:r>
          <m:t>a</m:t>
        </m:r>
        <m:r>
          <m:t>b</m:t>
        </m:r>
        <m:r>
          <m:t>i</m:t>
        </m:r>
        <m:r>
          <m:t>l</m:t>
        </m:r>
        <m:r>
          <m:t>i</m:t>
        </m:r>
        <m:r>
          <m:t>t</m:t>
        </m:r>
        <m:r>
          <m:t>i</m:t>
        </m:r>
        <m:r>
          <m:t>e</m:t>
        </m:r>
        <m:r>
          <m:t>s</m:t>
        </m:r>
        <m:r>
          <m:t>a</m:t>
        </m:r>
        <m:r>
          <m:t>n</m:t>
        </m:r>
        <m:r>
          <m:t>d</m:t>
        </m:r>
        <m:r>
          <m:t>r</m:t>
        </m:r>
        <m:r>
          <m:t>e</m:t>
        </m:r>
        <m:r>
          <m:t>m</m:t>
        </m:r>
        <m:r>
          <m:t>a</m:t>
        </m:r>
        <m:r>
          <m:t>i</m:t>
        </m:r>
        <m:r>
          <m:t>n</m:t>
        </m:r>
        <m:r>
          <m:t>i</m:t>
        </m:r>
        <m:r>
          <m:t>n</m:t>
        </m:r>
        <m:r>
          <m:t>g</m:t>
        </m:r>
        <m:r>
          <m:t>p</m:t>
        </m:r>
        <m:r>
          <m:t>e</m:t>
        </m:r>
        <m:r>
          <m:t>r</m:t>
        </m:r>
        <m:r>
          <m:t>f</m:t>
        </m:r>
        <m:r>
          <m:t>o</m:t>
        </m:r>
        <m:r>
          <m:t>r</m:t>
        </m:r>
        <m:r>
          <m:t>m</m:t>
        </m:r>
        <m:r>
          <m:t>a</m:t>
        </m:r>
        <m:r>
          <m:t>n</m:t>
        </m:r>
        <m:r>
          <m:t>c</m:t>
        </m:r>
        <m:r>
          <m:t>e</m:t>
        </m:r>
        <m:r>
          <m:t>o</m:t>
        </m:r>
        <m:r>
          <m:t>b</m:t>
        </m:r>
        <m:r>
          <m:t>l</m:t>
        </m:r>
        <m:r>
          <m:t>i</m:t>
        </m:r>
        <m:r>
          <m:t>g</m:t>
        </m:r>
        <m:r>
          <m:t>a</m:t>
        </m:r>
        <m:r>
          <m:t>t</m:t>
        </m:r>
        <m:r>
          <m:t>i</m:t>
        </m:r>
        <m:r>
          <m:t>o</m:t>
        </m:r>
        <m:r>
          <m:t>n</m:t>
        </m:r>
        <m:r>
          <m:t>s</m:t>
        </m:r>
        <m:r>
          <m:t>w</m:t>
        </m:r>
        <m:r>
          <m:t>a</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7.7 billion</w:t>
      </w:r>
      <w:r>
        <w:t xml:space="preserve">. (</w:t>
      </w:r>
      <w:hyperlink r:id="rId16">
        <w:r>
          <w:rPr>
            <w:rStyle w:val="Hyperlink"/>
          </w:rPr>
          <w:t xml:space="preserve">sec.gov</w:t>
        </w:r>
      </w:hyperlink>
      <w:r>
        <w:t xml:space="preserve">)</w:t>
      </w:r>
    </w:p>
    <w:p>
      <w:pPr>
        <w:pStyle w:val="BodyText"/>
      </w:pPr>
      <w:r>
        <w:t xml:space="preserve">This is important because some AI deployments now require:</w:t>
      </w:r>
    </w:p>
    <w:p>
      <w:pPr>
        <w:pStyle w:val="Compact"/>
        <w:numPr>
          <w:ilvl w:val="0"/>
          <w:numId w:val="1008"/>
        </w:numPr>
      </w:pPr>
      <w:r>
        <w:t xml:space="preserve">Data-center power and space to become available.</w:t>
      </w:r>
    </w:p>
    <w:p>
      <w:pPr>
        <w:pStyle w:val="Compact"/>
        <w:numPr>
          <w:ilvl w:val="0"/>
          <w:numId w:val="1008"/>
        </w:numPr>
      </w:pPr>
      <w:r>
        <w:t xml:space="preserve">GPUs and other accelerator equipment to arrive.</w:t>
      </w:r>
    </w:p>
    <w:p>
      <w:pPr>
        <w:pStyle w:val="Compact"/>
        <w:numPr>
          <w:ilvl w:val="0"/>
          <w:numId w:val="1008"/>
        </w:numPr>
      </w:pPr>
      <w:r>
        <w:t xml:space="preserve">Extensive cabling and rack integration.</w:t>
      </w:r>
    </w:p>
    <w:p>
      <w:pPr>
        <w:pStyle w:val="Compact"/>
        <w:numPr>
          <w:ilvl w:val="0"/>
          <w:numId w:val="1008"/>
        </w:numPr>
      </w:pPr>
      <w:r>
        <w:t xml:space="preserve">New-product testing and qualification.</w:t>
      </w:r>
    </w:p>
    <w:p>
      <w:pPr>
        <w:pStyle w:val="Compact"/>
        <w:numPr>
          <w:ilvl w:val="0"/>
          <w:numId w:val="1008"/>
        </w:numPr>
      </w:pPr>
      <w:r>
        <w:t xml:space="preserve">Formal customer acceptance before revenue recognition.</w:t>
      </w:r>
    </w:p>
    <w:p>
      <w:pPr>
        <w:pStyle w:val="FirstParagraph"/>
      </w:pPr>
      <w:r>
        <w:t xml:space="preserve">Management said certain qualification cycles have expanded from two-to-four quarters to as long as six-to-eight quarters. Consequently, reported quarterly revenue may understate underlying shipments or demand—but deferred revenue should not be treated as conventional, immediately recognizable backlog.</w:t>
      </w:r>
    </w:p>
    <w:p>
      <w:pPr>
        <w:pStyle w:val="BodyText"/>
      </w:pPr>
      <w:r>
        <w:t xml:space="preserve">Investors should watch whether product deferred revenue:</w:t>
      </w:r>
    </w:p>
    <w:p>
      <w:pPr>
        <w:pStyle w:val="Compact"/>
        <w:numPr>
          <w:ilvl w:val="0"/>
          <w:numId w:val="1009"/>
        </w:numPr>
      </w:pPr>
      <w:r>
        <w:t xml:space="preserve">Continues rising because shipments are outpacing acceptance;</w:t>
      </w:r>
    </w:p>
    <w:p>
      <w:pPr>
        <w:pStyle w:val="Compact"/>
        <w:numPr>
          <w:ilvl w:val="0"/>
          <w:numId w:val="1009"/>
        </w:numPr>
      </w:pPr>
      <w:r>
        <w:t xml:space="preserve">Begins converting into recognized revenue;</w:t>
      </w:r>
    </w:p>
    <w:p>
      <w:pPr>
        <w:pStyle w:val="Compact"/>
        <w:numPr>
          <w:ilvl w:val="0"/>
          <w:numId w:val="1009"/>
        </w:numPr>
      </w:pPr>
      <w:r>
        <w:t xml:space="preserve">Or experiences delays that push expected revenue farther into 2027.</w:t>
      </w:r>
    </w:p>
    <w:bookmarkEnd w:id="21"/>
    <w:bookmarkStart w:id="24" w:name="X21c47243e2478f932fd8ca05bece9c249539d5a"/>
    <w:p>
      <w:pPr>
        <w:pStyle w:val="Heading3"/>
      </w:pPr>
      <w:r>
        <w:t xml:space="preserve">6. Hyperscaler spending remains a favorable read-through</w:t>
      </w:r>
    </w:p>
    <w:p>
      <w:pPr>
        <w:pStyle w:val="FirstParagraph"/>
      </w:pPr>
      <w:r>
        <w:t xml:space="preserve">The latest commentary from Microsoft—one of Arista’s two longstanding large customers—remains supportive. Microsoft reported $41 billion of quarterly capital expenditures, added another gigawatt of capacity and said it remains on track to roughly double overall capacity in two years. (</w:t>
      </w:r>
      <w:hyperlink r:id="rId22">
        <w:r>
          <w:rPr>
            <w:rStyle w:val="Hyperlink"/>
          </w:rPr>
          <w:t xml:space="preserve">microsoft.com</w:t>
        </w:r>
      </w:hyperlink>
      <w:r>
        <w:t xml:space="preserve">)</w:t>
      </w:r>
    </w:p>
    <w:p>
      <w:pPr>
        <w:pStyle w:val="BodyText"/>
      </w:pPr>
      <w:r>
        <w:t xml:space="preserve">Meta, Arista’s other named large cloud customer, had already increased its 2026 capital-expenditure outlook to</w:t>
      </w:r>
      <w:r>
        <w:t xml:space="preserve"> </w:t>
      </w:r>
      <m:oMath>
        <m:r>
          <m:t>125</m:t>
        </m:r>
        <m:r>
          <m:rPr>
            <m:sty m:val="p"/>
          </m:rPr>
          <m:t>–</m:t>
        </m:r>
      </m:oMath>
      <w:r>
        <w:rPr>
          <w:b/>
          <w:bCs/>
        </w:rPr>
        <w:t xml:space="preserve">145 billion</w:t>
      </w:r>
      <w:r>
        <w:t xml:space="preserve"> </w:t>
      </w:r>
      <w:r>
        <w:t xml:space="preserve">earlier this year. (</w:t>
      </w:r>
      <w:hyperlink r:id="rId23">
        <w:r>
          <w:rPr>
            <w:rStyle w:val="Hyperlink"/>
          </w:rPr>
          <w:t xml:space="preserve">investor.atmeta.com</w:t>
        </w:r>
      </w:hyperlink>
      <w:r>
        <w:t xml:space="preserve">)</w:t>
      </w:r>
    </w:p>
    <w:p>
      <w:pPr>
        <w:pStyle w:val="BodyText"/>
      </w:pPr>
      <w:r>
        <w:t xml:space="preserve">This reduces concern about an imminent collapse in AI infrastructure spending. The remaining company-specific questions are Arista’s share of that spend, the timing of network deployments versus compute purchases, and whether proprietary or white-box architectures capture part of the opportunity.</w:t>
      </w:r>
    </w:p>
    <w:bookmarkEnd w:id="24"/>
    <w:bookmarkEnd w:id="25"/>
    <w:bookmarkStart w:id="29" w:name="bullbasebear-framework"/>
    <w:p>
      <w:pPr>
        <w:pStyle w:val="Heading2"/>
      </w:pPr>
      <w:r>
        <w:t xml:space="preserve">Bull/base/bear framework</w:t>
      </w:r>
    </w:p>
    <w:bookmarkStart w:id="26" w:name="bull-case"/>
    <w:p>
      <w:pPr>
        <w:pStyle w:val="Heading3"/>
      </w:pPr>
      <w:r>
        <w:t xml:space="preserve">Bull case</w:t>
      </w:r>
    </w:p>
    <w:p>
      <w:pPr>
        <w:pStyle w:val="Compact"/>
        <w:numPr>
          <w:ilvl w:val="0"/>
          <w:numId w:val="1010"/>
        </w:numPr>
      </w:pPr>
      <w:r>
        <w:t xml:space="preserve">Revenue of roughly</w:t>
      </w:r>
      <w:r>
        <w:t xml:space="preserve"> </w:t>
      </w:r>
      <w:r>
        <w:rPr>
          <w:b/>
          <w:bCs/>
        </w:rPr>
        <w:t xml:space="preserve">$2.88 billion or better</w:t>
      </w:r>
    </w:p>
    <w:p>
      <w:pPr>
        <w:pStyle w:val="Compact"/>
        <w:numPr>
          <w:ilvl w:val="0"/>
          <w:numId w:val="1010"/>
        </w:numPr>
      </w:pPr>
      <w:r>
        <w:t xml:space="preserve">EPS above</w:t>
      </w:r>
      <w:r>
        <w:t xml:space="preserve"> </w:t>
      </w:r>
      <w:r>
        <w:rPr>
          <w:b/>
          <w:bCs/>
        </w:rPr>
        <w:t xml:space="preserve">$0.90</w:t>
      </w:r>
    </w:p>
    <w:p>
      <w:pPr>
        <w:pStyle w:val="Compact"/>
        <w:numPr>
          <w:ilvl w:val="0"/>
          <w:numId w:val="1010"/>
        </w:numPr>
      </w:pPr>
      <w:r>
        <w:t xml:space="preserve">Gross margin holds near or above the midpoint of guidance</w:t>
      </w:r>
    </w:p>
    <w:p>
      <w:pPr>
        <w:pStyle w:val="Compact"/>
        <w:numPr>
          <w:ilvl w:val="0"/>
          <w:numId w:val="1010"/>
        </w:numPr>
      </w:pPr>
      <w:r>
        <w:t xml:space="preserve">Q3 revenue guidance above</w:t>
      </w:r>
      <w:r>
        <w:t xml:space="preserve"> </w:t>
      </w:r>
      <w:r>
        <w:rPr>
          <w:b/>
          <w:bCs/>
        </w:rPr>
        <w:t xml:space="preserve">$3.0 billion</w:t>
      </w:r>
    </w:p>
    <w:p>
      <w:pPr>
        <w:pStyle w:val="Compact"/>
        <w:numPr>
          <w:ilvl w:val="0"/>
          <w:numId w:val="1010"/>
        </w:numPr>
      </w:pPr>
      <w:r>
        <w:t xml:space="preserve">Full-year revenue outlook raised above $11.5 billion</w:t>
      </w:r>
    </w:p>
    <w:p>
      <w:pPr>
        <w:pStyle w:val="Compact"/>
        <w:numPr>
          <w:ilvl w:val="0"/>
          <w:numId w:val="1010"/>
        </w:numPr>
      </w:pPr>
      <w:r>
        <w:t xml:space="preserve">AI target increased or management signals upside to $3.5 billion</w:t>
      </w:r>
    </w:p>
    <w:p>
      <w:pPr>
        <w:pStyle w:val="Compact"/>
        <w:numPr>
          <w:ilvl w:val="0"/>
          <w:numId w:val="1010"/>
        </w:numPr>
      </w:pPr>
      <w:r>
        <w:t xml:space="preserve">Supply secured sufficiently to support further growth in 2027</w:t>
      </w:r>
    </w:p>
    <w:bookmarkEnd w:id="26"/>
    <w:bookmarkStart w:id="27" w:name="base-case"/>
    <w:p>
      <w:pPr>
        <w:pStyle w:val="Heading3"/>
      </w:pPr>
      <w:r>
        <w:t xml:space="preserve">Base case</w:t>
      </w:r>
    </w:p>
    <w:p>
      <w:pPr>
        <w:pStyle w:val="Compact"/>
        <w:numPr>
          <w:ilvl w:val="0"/>
          <w:numId w:val="1011"/>
        </w:numPr>
      </w:pPr>
      <w:r>
        <w:t xml:space="preserve">Revenue around</w:t>
      </w:r>
      <w:r>
        <w:t xml:space="preserve"> </w:t>
      </w:r>
      <m:oMath>
        <m:r>
          <m:t>2.82</m:t>
        </m:r>
        <m:r>
          <m:rPr>
            <m:sty m:val="p"/>
          </m:rPr>
          <m:t>–</m:t>
        </m:r>
      </m:oMath>
      <w:r>
        <w:rPr>
          <w:b/>
          <w:bCs/>
        </w:rPr>
        <w:t xml:space="preserve">2.87 billion</w:t>
      </w:r>
    </w:p>
    <w:p>
      <w:pPr>
        <w:pStyle w:val="Compact"/>
        <w:numPr>
          <w:ilvl w:val="0"/>
          <w:numId w:val="1011"/>
        </w:numPr>
      </w:pPr>
      <w:r>
        <w:t xml:space="preserve">EPS around</w:t>
      </w:r>
      <w:r>
        <w:t xml:space="preserve"> </w:t>
      </w:r>
      <m:oMath>
        <m:r>
          <m:t>0.88</m:t>
        </m:r>
        <m:r>
          <m:rPr>
            <m:sty m:val="p"/>
          </m:rPr>
          <m:t>–</m:t>
        </m:r>
      </m:oMath>
      <w:r>
        <w:rPr>
          <w:b/>
          <w:bCs/>
        </w:rPr>
        <w:t xml:space="preserve">0.91</w:t>
      </w:r>
    </w:p>
    <w:p>
      <w:pPr>
        <w:pStyle w:val="Compact"/>
        <w:numPr>
          <w:ilvl w:val="0"/>
          <w:numId w:val="1011"/>
        </w:numPr>
      </w:pPr>
      <w:r>
        <w:t xml:space="preserve">Gross margin within the 62%–63% range</w:t>
      </w:r>
    </w:p>
    <w:p>
      <w:pPr>
        <w:pStyle w:val="Compact"/>
        <w:numPr>
          <w:ilvl w:val="0"/>
          <w:numId w:val="1011"/>
        </w:numPr>
      </w:pPr>
      <w:r>
        <w:t xml:space="preserve">Q3 guidance around $3.0 billion</w:t>
      </w:r>
    </w:p>
    <w:p>
      <w:pPr>
        <w:pStyle w:val="Compact"/>
        <w:numPr>
          <w:ilvl w:val="0"/>
          <w:numId w:val="1011"/>
        </w:numPr>
      </w:pPr>
      <w:r>
        <w:t xml:space="preserve">Full-year and AI targets reiterated</w:t>
      </w:r>
    </w:p>
    <w:p>
      <w:pPr>
        <w:pStyle w:val="FirstParagraph"/>
      </w:pPr>
      <w:r>
        <w:t xml:space="preserve">This would represent strong execution, but the stock reaction could be muted or negative because the valuation demands continued upward revisions.</w:t>
      </w:r>
    </w:p>
    <w:bookmarkEnd w:id="27"/>
    <w:bookmarkStart w:id="28" w:name="bear-case"/>
    <w:p>
      <w:pPr>
        <w:pStyle w:val="Heading3"/>
      </w:pPr>
      <w:r>
        <w:t xml:space="preserve">Bear case</w:t>
      </w:r>
    </w:p>
    <w:p>
      <w:pPr>
        <w:pStyle w:val="Compact"/>
        <w:numPr>
          <w:ilvl w:val="0"/>
          <w:numId w:val="1012"/>
        </w:numPr>
      </w:pPr>
      <w:r>
        <w:t xml:space="preserve">Revenue below or only marginally above $2.8 billion</w:t>
      </w:r>
    </w:p>
    <w:p>
      <w:pPr>
        <w:pStyle w:val="Compact"/>
        <w:numPr>
          <w:ilvl w:val="0"/>
          <w:numId w:val="1012"/>
        </w:numPr>
      </w:pPr>
      <w:r>
        <w:t xml:space="preserve">Gross margin falls below 62%</w:t>
      </w:r>
    </w:p>
    <w:p>
      <w:pPr>
        <w:pStyle w:val="Compact"/>
        <w:numPr>
          <w:ilvl w:val="0"/>
          <w:numId w:val="1012"/>
        </w:numPr>
      </w:pPr>
      <w:r>
        <w:t xml:space="preserve">Q3 guidance materially below the implied $3 billion run rate</w:t>
      </w:r>
    </w:p>
    <w:p>
      <w:pPr>
        <w:pStyle w:val="Compact"/>
        <w:numPr>
          <w:ilvl w:val="0"/>
          <w:numId w:val="1012"/>
        </w:numPr>
      </w:pPr>
      <w:r>
        <w:t xml:space="preserve">No annual raise despite management’s prior demand commentary</w:t>
      </w:r>
    </w:p>
    <w:p>
      <w:pPr>
        <w:pStyle w:val="Compact"/>
        <w:numPr>
          <w:ilvl w:val="0"/>
          <w:numId w:val="1012"/>
        </w:numPr>
      </w:pPr>
      <w:r>
        <w:t xml:space="preserve">More severe supplier decommitments or component inflation</w:t>
      </w:r>
    </w:p>
    <w:p>
      <w:pPr>
        <w:pStyle w:val="Compact"/>
        <w:numPr>
          <w:ilvl w:val="0"/>
          <w:numId w:val="1012"/>
        </w:numPr>
      </w:pPr>
      <w:r>
        <w:t xml:space="preserve">AI deployments remain stuck in lengthy acceptance cycles</w:t>
      </w:r>
    </w:p>
    <w:p>
      <w:pPr>
        <w:pStyle w:val="Compact"/>
        <w:numPr>
          <w:ilvl w:val="0"/>
          <w:numId w:val="1012"/>
        </w:numPr>
      </w:pPr>
      <w:r>
        <w:t xml:space="preserve">Reduced confidence in adding new 10%-plus customers</w:t>
      </w:r>
    </w:p>
    <w:bookmarkEnd w:id="28"/>
    <w:bookmarkEnd w:id="29"/>
    <w:bookmarkStart w:id="30" w:name="bottom-line"/>
    <w:p>
      <w:pPr>
        <w:pStyle w:val="Heading2"/>
      </w:pPr>
      <w:r>
        <w:t xml:space="preserve">Bottom line</w:t>
      </w:r>
    </w:p>
    <w:p>
      <w:pPr>
        <w:pStyle w:val="FirstParagraph"/>
      </w:pPr>
      <w:r>
        <w:t xml:space="preserve">The core ANET thesis remains strong: Ethernet is gaining ground as the open networking standard for AI, Arista has a differentiated combination of high-performance hardware and EOS software, and its largest customers continue investing aggressively.</w:t>
      </w:r>
    </w:p>
    <w:p>
      <w:pPr>
        <w:pStyle w:val="BodyText"/>
      </w:pPr>
      <w:r>
        <w:t xml:space="preserve">But this quarter’s hurdle is higher than the published consensus.</w:t>
      </w:r>
      <w:r>
        <w:t xml:space="preserve"> </w:t>
      </w:r>
      <w:r>
        <w:rPr>
          <w:b/>
          <w:bCs/>
        </w:rPr>
        <w:t xml:space="preserve">The report needs to demonstrate not merely strong demand, but improving conversion of that demand into supply, revenue and forward guidance without an uncontrolled margin sacrifice.</w:t>
      </w:r>
      <w:r>
        <w:t xml:space="preserve"> </w:t>
      </w:r>
      <w:r>
        <w:t xml:space="preserve">The most important number will probably not be Q2 revenue—it will be the</w:t>
      </w:r>
      <w:r>
        <w:t xml:space="preserve"> </w:t>
      </w:r>
      <w:r>
        <w:rPr>
          <w:b/>
          <w:bCs/>
        </w:rPr>
        <w:t xml:space="preserve">Q3 revenue guide</w:t>
      </w:r>
      <w:r>
        <w:t xml:space="preserve">, followed closely by the full-year AI target and gross-margin commentary.</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finance.yahoo.com/markets/stocks/articles/arista-networks-q1-earnings-call-050856247.html?utm_source=openai" TargetMode="External" /><Relationship Type="http://schemas.openxmlformats.org/officeDocument/2006/relationships/hyperlink" Id="rId23" Target="https://investor.atmeta.com/investor-news/press-release-details/2026/Meta-Reports-First-Quarter-2026-Results/?utm_source=openai" TargetMode="External" /><Relationship Type="http://schemas.openxmlformats.org/officeDocument/2006/relationships/hyperlink" Id="rId19" Target="https://investors.arista.com/Communications/Press-Releases-and-Events/Press-Release-Detail/2026/Arista-Introduces-Next-Generation-1-6Terabit-Portfolio-for-AI-Fabrics/default.aspx?utm_source=openai" TargetMode="External" /><Relationship Type="http://schemas.openxmlformats.org/officeDocument/2006/relationships/hyperlink" Id="rId12" Target="https://investors.arista.com/Communications/Press-Releases-and-Events/Press-Release-Detail/2026/Arista-Networks-Inc--Reports-First-Quarter-2026-Financial-Results/default.aspx" TargetMode="External" /><Relationship Type="http://schemas.openxmlformats.org/officeDocument/2006/relationships/hyperlink" Id="rId9" Target="https://investors.arista.com/Communications/Press-Releases-and-Events/Press-Release-Detail/2026/Arista-Networks-to-Announce-Q2-2026-Financial-Results-on-Tuesday-August-4-2026/default.aspx?utm_source=openai" TargetMode="External" /><Relationship Type="http://schemas.openxmlformats.org/officeDocument/2006/relationships/hyperlink" Id="rId22" Target="https://www.microsoft.com/en-us/investor/events/fy-2026/earnings-fy-2026-q4" TargetMode="External" /><Relationship Type="http://schemas.openxmlformats.org/officeDocument/2006/relationships/hyperlink" Id="rId16" Target="https://www.sec.gov/Archives/edgar/data/1596532/000159653226000078/anet-20260331.htm?utm_source=openai" TargetMode="External" /><Relationship Type="http://schemas.openxmlformats.org/officeDocument/2006/relationships/hyperlink" Id="rId11" Target="https://www.tipranks.com/stocks/anet/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finance.yahoo.com/markets/stocks/articles/arista-networks-q1-earnings-call-050856247.html?utm_source=openai" TargetMode="External" /><Relationship Type="http://schemas.openxmlformats.org/officeDocument/2006/relationships/hyperlink" Id="rId23" Target="https://investor.atmeta.com/investor-news/press-release-details/2026/Meta-Reports-First-Quarter-2026-Results/?utm_source=openai" TargetMode="External" /><Relationship Type="http://schemas.openxmlformats.org/officeDocument/2006/relationships/hyperlink" Id="rId19" Target="https://investors.arista.com/Communications/Press-Releases-and-Events/Press-Release-Detail/2026/Arista-Introduces-Next-Generation-1-6Terabit-Portfolio-for-AI-Fabrics/default.aspx?utm_source=openai" TargetMode="External" /><Relationship Type="http://schemas.openxmlformats.org/officeDocument/2006/relationships/hyperlink" Id="rId12" Target="https://investors.arista.com/Communications/Press-Releases-and-Events/Press-Release-Detail/2026/Arista-Networks-Inc--Reports-First-Quarter-2026-Financial-Results/default.aspx" TargetMode="External" /><Relationship Type="http://schemas.openxmlformats.org/officeDocument/2006/relationships/hyperlink" Id="rId9" Target="https://investors.arista.com/Communications/Press-Releases-and-Events/Press-Release-Detail/2026/Arista-Networks-to-Announce-Q2-2026-Financial-Results-on-Tuesday-August-4-2026/default.aspx?utm_source=openai" TargetMode="External" /><Relationship Type="http://schemas.openxmlformats.org/officeDocument/2006/relationships/hyperlink" Id="rId22" Target="https://www.microsoft.com/en-us/investor/events/fy-2026/earnings-fy-2026-q4" TargetMode="External" /><Relationship Type="http://schemas.openxmlformats.org/officeDocument/2006/relationships/hyperlink" Id="rId16" Target="https://www.sec.gov/Archives/edgar/data/1596532/000159653226000078/anet-20260331.htm?utm_source=openai" TargetMode="External" /><Relationship Type="http://schemas.openxmlformats.org/officeDocument/2006/relationships/hyperlink" Id="rId11" Target="https://www.tipranks.com/stocks/anet/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2026-08-04T01:43:34Z</dcterms:created>
  <dcterms:modified xsi:type="dcterms:W3CDTF">2026-08-04T01:43:34Z</dcterms:modified>
</cp:coreProperties>
</file>

<file path=docProps/custom.xml><?xml version="1.0" encoding="utf-8"?>
<Properties xmlns="http://schemas.openxmlformats.org/officeDocument/2006/custom-properties" xmlns:vt="http://schemas.openxmlformats.org/officeDocument/2006/docPropsVTypes"/>
</file>