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net-earnings-predictions--2026-08-04"/>
    <w:p>
      <w:pPr>
        <w:pStyle w:val="Heading1"/>
      </w:pPr>
      <w:r>
        <w:t xml:space="preserve">ANET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~$2.90B vs. cons $2.827B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~62.5% vs. cons ~62.4%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~$0.90 vs. cons $0.883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~$2.975B vs. cons $2.940B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~$11.75B vs. cons $11.600B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Revenue Target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~$3.75B vs. embedded $3.50B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62%-64% reiterated vs. cons ~62.5% midpoint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(FADE)</w:t>
            </w:r>
          </w:p>
        </w:tc>
        <w:tc>
          <w:tcPr/>
          <w:p>
            <w:pPr>
              <w:pStyle w:val="Compact"/>
            </w:pPr>
            <w:r>
              <w:t xml:space="preserve">FADE — Day-1 pop partially reverses as sell-side digests implied Q4 math and deferred trajectory commentary; 2 of 3 historical Archetype A quarters faded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2026-08-07T02:02:52Z</dcterms:created>
  <dcterms:modified xsi:type="dcterms:W3CDTF">2026-08-07T02:02:52Z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