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Arista Networks (ANET)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Arista Networks, Inc.</w:t>
            </w:r>
          </w:p>
        </w:tc>
        <w:tc>
          <w:tcPr>
            <w:tcW w:type="dxa" w:w="2160"/>
          </w:tcPr>
          <w:p>
            <w:r>
              <w:rPr>
                <w:rFonts w:ascii="Calibri" w:hAnsi="Calibri"/>
                <w:b/>
                <w:sz w:val="22"/>
              </w:rPr>
              <w:t>Ticker</w:t>
            </w:r>
          </w:p>
        </w:tc>
        <w:tc>
          <w:tcPr>
            <w:tcW w:type="dxa" w:w="2160"/>
          </w:tcPr>
          <w:p>
            <w:r>
              <w:rPr>
                <w:rFonts w:ascii="Calibri" w:hAnsi="Calibri"/>
                <w:sz w:val="22"/>
              </w:rPr>
              <w:t>ANET (NYSE)</w:t>
            </w:r>
          </w:p>
        </w:tc>
      </w:tr>
      <w:tr>
        <w:tc>
          <w:tcPr>
            <w:tcW w:type="dxa" w:w="2160"/>
          </w:tcPr>
          <w:p>
            <w:r>
              <w:rPr>
                <w:rFonts w:ascii="Calibri" w:hAnsi="Calibri"/>
                <w:b/>
                <w:sz w:val="22"/>
              </w:rPr>
              <w:t>Earnings Date</w:t>
            </w:r>
          </w:p>
        </w:tc>
        <w:tc>
          <w:tcPr>
            <w:tcW w:type="dxa" w:w="2160"/>
          </w:tcPr>
          <w:p>
            <w:r>
              <w:rPr>
                <w:rFonts w:ascii="Calibri" w:hAnsi="Calibri"/>
                <w:sz w:val="22"/>
              </w:rPr>
              <w:t>August 4, 2026 (After Market Close)</w:t>
            </w:r>
          </w:p>
        </w:tc>
        <w:tc>
          <w:tcPr>
            <w:tcW w:type="dxa" w:w="2160"/>
          </w:tcPr>
          <w:p>
            <w:r>
              <w:rPr>
                <w:rFonts w:ascii="Calibri" w:hAnsi="Calibri"/>
                <w:b/>
                <w:sz w:val="22"/>
              </w:rPr>
              <w:t>Prepared Date</w:t>
            </w:r>
          </w:p>
        </w:tc>
        <w:tc>
          <w:tcPr>
            <w:tcW w:type="dxa" w:w="2160"/>
          </w:tcPr>
          <w:p>
            <w:r>
              <w:rPr>
                <w:rFonts w:ascii="Calibri" w:hAnsi="Calibri"/>
                <w:sz w:val="22"/>
              </w:rPr>
              <w:t>August 3, 2026</w:t>
            </w:r>
          </w:p>
        </w:tc>
      </w:tr>
      <w:tr>
        <w:tc>
          <w:tcPr>
            <w:tcW w:type="dxa" w:w="2160"/>
          </w:tcPr>
          <w:p>
            <w:r>
              <w:rPr>
                <w:rFonts w:ascii="Calibri" w:hAnsi="Calibri"/>
                <w:b/>
                <w:sz w:val="22"/>
              </w:rPr>
              <w:t>Reporting Period</w:t>
            </w:r>
          </w:p>
        </w:tc>
        <w:tc>
          <w:tcPr>
            <w:tcW w:type="dxa" w:w="2160"/>
          </w:tcPr>
          <w:p>
            <w:r>
              <w:rPr>
                <w:rFonts w:ascii="Calibri" w:hAnsi="Calibri"/>
                <w:sz w:val="22"/>
              </w:rPr>
              <w:t>Q2 FY2026 (Quarter ended June 30, 2026)</w:t>
            </w:r>
          </w:p>
        </w:tc>
        <w:tc>
          <w:tcPr>
            <w:tcW w:type="dxa" w:w="2160"/>
          </w:tcPr>
          <w:p>
            <w:r>
              <w:rPr>
                <w:rFonts w:ascii="Calibri" w:hAnsi="Calibri"/>
                <w:b/>
                <w:sz w:val="22"/>
              </w:rPr>
              <w:t>Last Earnings</w:t>
            </w:r>
          </w:p>
        </w:tc>
        <w:tc>
          <w:tcPr>
            <w:tcW w:type="dxa" w:w="2160"/>
          </w:tcPr>
          <w:p>
            <w:r>
              <w:rPr>
                <w:rFonts w:ascii="Calibri" w:hAnsi="Calibri"/>
                <w:sz w:val="22"/>
              </w:rPr>
              <w:t>May 5,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easy — consensus sits at $2.83B revenue (in line with guidance midpoint) and $0.88 non-GAAP EPS, leaving the bar achievable but not low; the single biggest swing factor is whether supply chain decommits constrained Q2 shipments or whether Arista was able to pull forward deferred revenue recognition to beat on reported revenue.</w:t>
      </w:r>
    </w:p>
    <w:p>
      <w:r>
        <w:rPr>
          <w:rFonts w:ascii="Calibri" w:hAnsi="Calibri"/>
          <w:color w:val="525866"/>
          <w:sz w:val="22"/>
        </w:rPr>
        <w:t xml:space="preserve">Heading into Q2 2026, Arista's setup is defined by a tension between record-level demand and a multi-year, industry-wide supply constraint that management has explicitly flagged as the binding ceiling on near-term revenue. </w:t>
      </w:r>
      <w:r>
        <w:rPr>
          <w:rFonts w:ascii="Calibri" w:hAnsi="Calibri"/>
          <w:color w:val="525866"/>
          <w:sz w:val="22"/>
        </w:rPr>
        <w:t xml:space="preserve">Consensus revenue of ~$2.83B sits essentially at the guidance midpoint of ~$2.8B, meaning the Street is not pricing in a meaningful beat on the top line — a low bar in absolute terms, but one that could still disappoint if supply decommits (supplier promise-date slippage) were worse than expected in the quarter. </w:t>
      </w:r>
      <w:r>
        <w:rPr>
          <w:rFonts w:ascii="Calibri" w:hAnsi="Calibri"/>
          <w:color w:val="525866"/>
          <w:sz w:val="22"/>
        </w:rPr>
        <w:t xml:space="preserve">Management's tone since Q1 earnings has been consistently bullish: the CFO reiterated at three conferences (Needham, William Blair, BofA) that supply constraints pose "no constraint in the sense of us reaching our FY '26 guidance," and the company raised its 3-year CAGR outlook to 20%+ from mid-teens — a meaningful confidence signal. </w:t>
      </w:r>
      <w:r>
        <w:rPr>
          <w:rFonts w:ascii="Calibri" w:hAnsi="Calibri"/>
          <w:color w:val="525866"/>
          <w:sz w:val="22"/>
        </w:rPr>
        <w:t xml:space="preserve">Estimate revisions have been stable-to-slightly-up since the Q1 print, with FY2026 consensus revenue at ~$11.60B vs. the $11.5B guidance midpoint, suggesting the Street is already embedding a modest beat-and-raise cadence. </w:t>
      </w:r>
      <w:r>
        <w:rPr>
          <w:rFonts w:ascii="Calibri" w:hAnsi="Calibri"/>
          <w:color w:val="525866"/>
          <w:sz w:val="22"/>
        </w:rPr>
        <w:t xml:space="preserve">The stock has recovered +8.6% since the Q1 earnings-day selloff (which took shares from $170 to $136 intraday), now trading at ~$185 and ~42x forward earnings — a premium multiple that prices in continued execution but leaves limited room for a guidance miss. </w:t>
      </w:r>
      <w:r>
        <w:rPr>
          <w:rFonts w:ascii="Calibri" w:hAnsi="Calibri"/>
          <w:color w:val="525866"/>
          <w:sz w:val="22"/>
        </w:rPr>
        <w:t>The key wildcard is the deferred revenue trajectory: with $6.2B in deferred at Q1-end (up 100% YoY), any acceleration in product acceptance and revenue recognition — or conversely, a further build in deferred — will be the most watched data point and could move the stock more than the headline revenue number itself.</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modest bar — revenue guidance is essentially in line with the Street, and non-GAAP EPS consensus of $0.88 matches guidance exactly. The bigger swing factor is gross margin: any upside vs. the 62–63% guided range (driven by mix or supply cost relief) would be the most positive surprise, while a deferred revenue build larger than expected could weigh on sentiment even with a headline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($M)</w:t>
            </w:r>
          </w:p>
        </w:tc>
        <w:tc>
          <w:tcPr>
            <w:tcW w:type="dxa" w:w="1234"/>
          </w:tcPr>
          <w:p>
            <w:r>
              <w:rPr>
                <w:rFonts w:ascii="Calibri" w:hAnsi="Calibri"/>
                <w:sz w:val="22"/>
              </w:rPr>
              <w:t>$2,709</w:t>
            </w:r>
          </w:p>
        </w:tc>
        <w:tc>
          <w:tcPr>
            <w:tcW w:type="dxa" w:w="1234"/>
          </w:tcPr>
          <w:p>
            <w:r>
              <w:rPr>
                <w:rFonts w:ascii="Calibri" w:hAnsi="Calibri"/>
                <w:sz w:val="22"/>
              </w:rPr>
              <w:t>$2,205</w:t>
            </w:r>
          </w:p>
        </w:tc>
        <w:tc>
          <w:tcPr>
            <w:tcW w:type="dxa" w:w="1234"/>
          </w:tcPr>
          <w:p>
            <w:r>
              <w:rPr>
                <w:rFonts w:ascii="Calibri" w:hAnsi="Calibri"/>
                <w:sz w:val="22"/>
              </w:rPr>
              <w:t>$2,827</w:t>
            </w:r>
          </w:p>
        </w:tc>
        <w:tc>
          <w:tcPr>
            <w:tcW w:type="dxa" w:w="1234"/>
          </w:tcPr>
          <w:p>
            <w:r>
              <w:rPr>
                <w:rFonts w:ascii="Calibri" w:hAnsi="Calibri"/>
                <w:sz w:val="22"/>
              </w:rPr>
              <w:t>+28.2%</w:t>
            </w:r>
          </w:p>
        </w:tc>
        <w:tc>
          <w:tcPr>
            <w:tcW w:type="dxa" w:w="1234"/>
          </w:tcPr>
          <w:p>
            <w:r>
              <w:rPr>
                <w:rFonts w:ascii="Calibri" w:hAnsi="Calibri"/>
                <w:sz w:val="22"/>
              </w:rPr>
              <w:t>~$2,800</w:t>
            </w:r>
          </w:p>
        </w:tc>
        <w:tc>
          <w:tcPr>
            <w:tcW w:type="dxa" w:w="1234"/>
          </w:tcPr>
          <w:p>
            <w:r>
              <w:rPr>
                <w:rFonts w:ascii="Calibri" w:hAnsi="Calibri"/>
                <w:sz w:val="22"/>
              </w:rPr>
              <w:t>+0.97%</w:t>
            </w:r>
          </w:p>
        </w:tc>
      </w:tr>
      <w:tr>
        <w:tc>
          <w:tcPr>
            <w:tcW w:type="dxa" w:w="1234"/>
          </w:tcPr>
          <w:p>
            <w:r>
              <w:rPr>
                <w:rFonts w:ascii="Calibri" w:hAnsi="Calibri"/>
                <w:sz w:val="22"/>
              </w:rPr>
              <w:t>Non-GAAP Gross Profit ($M)</w:t>
            </w:r>
          </w:p>
        </w:tc>
        <w:tc>
          <w:tcPr>
            <w:tcW w:type="dxa" w:w="1234"/>
          </w:tcPr>
          <w:p>
            <w:r>
              <w:rPr>
                <w:rFonts w:ascii="Calibri" w:hAnsi="Calibri"/>
                <w:sz w:val="22"/>
              </w:rPr>
              <w:t>$1,691</w:t>
            </w:r>
          </w:p>
        </w:tc>
        <w:tc>
          <w:tcPr>
            <w:tcW w:type="dxa" w:w="1234"/>
          </w:tcPr>
          <w:p>
            <w:r>
              <w:rPr>
                <w:rFonts w:ascii="Calibri" w:hAnsi="Calibri"/>
                <w:sz w:val="22"/>
              </w:rPr>
              <w:t>$1,447</w:t>
            </w:r>
          </w:p>
        </w:tc>
        <w:tc>
          <w:tcPr>
            <w:tcW w:type="dxa" w:w="1234"/>
          </w:tcPr>
          <w:p>
            <w:r>
              <w:rPr>
                <w:rFonts w:ascii="Calibri" w:hAnsi="Calibri"/>
                <w:sz w:val="22"/>
              </w:rPr>
              <w:t>$1,765</w:t>
            </w:r>
          </w:p>
        </w:tc>
        <w:tc>
          <w:tcPr>
            <w:tcW w:type="dxa" w:w="1234"/>
          </w:tcPr>
          <w:p>
            <w:r>
              <w:rPr>
                <w:rFonts w:ascii="Calibri" w:hAnsi="Calibri"/>
                <w:sz w:val="22"/>
              </w:rPr>
              <w:t>+21.9%</w:t>
            </w:r>
          </w:p>
        </w:tc>
        <w:tc>
          <w:tcPr>
            <w:tcW w:type="dxa" w:w="1234"/>
          </w:tcPr>
          <w:p>
            <w:r>
              <w:rPr>
                <w:rFonts w:ascii="Calibri" w:hAnsi="Calibri"/>
                <w:sz w:val="22"/>
              </w:rPr>
              <w:t>62–63% GM range</w:t>
            </w:r>
          </w:p>
        </w:tc>
        <w:tc>
          <w:tcPr>
            <w:tcW w:type="dxa" w:w="1234"/>
          </w:tcPr>
          <w:p>
            <w:r>
              <w:rPr>
                <w:rFonts w:ascii="Calibri" w:hAnsi="Calibri"/>
                <w:sz w:val="22"/>
              </w:rPr>
              <w:t>~62.4% implied</w:t>
            </w:r>
          </w:p>
        </w:tc>
      </w:tr>
      <w:tr>
        <w:tc>
          <w:tcPr>
            <w:tcW w:type="dxa" w:w="1234"/>
          </w:tcPr>
          <w:p>
            <w:r>
              <w:rPr>
                <w:rFonts w:ascii="Calibri" w:hAnsi="Calibri"/>
                <w:sz w:val="22"/>
              </w:rPr>
              <w:t>Non-GAAP Operating Income ($M)</w:t>
            </w:r>
          </w:p>
        </w:tc>
        <w:tc>
          <w:tcPr>
            <w:tcW w:type="dxa" w:w="1234"/>
          </w:tcPr>
          <w:p>
            <w:r>
              <w:rPr>
                <w:rFonts w:ascii="Calibri" w:hAnsi="Calibri"/>
                <w:sz w:val="22"/>
              </w:rPr>
              <w:t>$1,294</w:t>
            </w:r>
          </w:p>
        </w:tc>
        <w:tc>
          <w:tcPr>
            <w:tcW w:type="dxa" w:w="1234"/>
          </w:tcPr>
          <w:p>
            <w:r>
              <w:rPr>
                <w:rFonts w:ascii="Calibri" w:hAnsi="Calibri"/>
                <w:sz w:val="22"/>
              </w:rPr>
              <w:t>$1,076</w:t>
            </w:r>
          </w:p>
        </w:tc>
        <w:tc>
          <w:tcPr>
            <w:tcW w:type="dxa" w:w="1234"/>
          </w:tcPr>
          <w:p>
            <w:r>
              <w:rPr>
                <w:rFonts w:ascii="Calibri" w:hAnsi="Calibri"/>
                <w:sz w:val="22"/>
              </w:rPr>
              <w:t>$1,322</w:t>
            </w:r>
          </w:p>
        </w:tc>
        <w:tc>
          <w:tcPr>
            <w:tcW w:type="dxa" w:w="1234"/>
          </w:tcPr>
          <w:p>
            <w:r>
              <w:rPr>
                <w:rFonts w:ascii="Calibri" w:hAnsi="Calibri"/>
                <w:sz w:val="22"/>
              </w:rPr>
              <w:t>+22.8%</w:t>
            </w:r>
          </w:p>
        </w:tc>
        <w:tc>
          <w:tcPr>
            <w:tcW w:type="dxa" w:w="1234"/>
          </w:tcPr>
          <w:p>
            <w:r>
              <w:rPr>
                <w:rFonts w:ascii="Calibri" w:hAnsi="Calibri"/>
                <w:sz w:val="22"/>
              </w:rPr>
              <w:t>46–47% OM range</w:t>
            </w:r>
          </w:p>
        </w:tc>
        <w:tc>
          <w:tcPr>
            <w:tcW w:type="dxa" w:w="1234"/>
          </w:tcPr>
          <w:p>
            <w:r>
              <w:rPr>
                <w:rFonts w:ascii="Calibri" w:hAnsi="Calibri"/>
                <w:sz w:val="22"/>
              </w:rPr>
              <w:t>~46.7% implied</w:t>
            </w:r>
          </w:p>
        </w:tc>
      </w:tr>
      <w:tr>
        <w:tc>
          <w:tcPr>
            <w:tcW w:type="dxa" w:w="1234"/>
          </w:tcPr>
          <w:p>
            <w:r>
              <w:rPr>
                <w:rFonts w:ascii="Calibri" w:hAnsi="Calibri"/>
                <w:sz w:val="22"/>
              </w:rPr>
              <w:t>Non-GAAP EPS (Diluted)</w:t>
            </w:r>
          </w:p>
        </w:tc>
        <w:tc>
          <w:tcPr>
            <w:tcW w:type="dxa" w:w="1234"/>
          </w:tcPr>
          <w:p>
            <w:r>
              <w:rPr>
                <w:rFonts w:ascii="Calibri" w:hAnsi="Calibri"/>
                <w:sz w:val="22"/>
              </w:rPr>
              <w:t>$0.87</w:t>
            </w:r>
          </w:p>
        </w:tc>
        <w:tc>
          <w:tcPr>
            <w:tcW w:type="dxa" w:w="1234"/>
          </w:tcPr>
          <w:p>
            <w:r>
              <w:rPr>
                <w:rFonts w:ascii="Calibri" w:hAnsi="Calibri"/>
                <w:sz w:val="22"/>
              </w:rPr>
              <w:t>$0.73</w:t>
            </w:r>
          </w:p>
        </w:tc>
        <w:tc>
          <w:tcPr>
            <w:tcW w:type="dxa" w:w="1234"/>
          </w:tcPr>
          <w:p>
            <w:r>
              <w:rPr>
                <w:rFonts w:ascii="Calibri" w:hAnsi="Calibri"/>
                <w:sz w:val="22"/>
              </w:rPr>
              <w:t>$0.88</w:t>
            </w:r>
          </w:p>
        </w:tc>
        <w:tc>
          <w:tcPr>
            <w:tcW w:type="dxa" w:w="1234"/>
          </w:tcPr>
          <w:p>
            <w:r>
              <w:rPr>
                <w:rFonts w:ascii="Calibri" w:hAnsi="Calibri"/>
                <w:sz w:val="22"/>
              </w:rPr>
              <w:t>+20.5%</w:t>
            </w:r>
          </w:p>
        </w:tc>
        <w:tc>
          <w:tcPr>
            <w:tcW w:type="dxa" w:w="1234"/>
          </w:tcPr>
          <w:p>
            <w:r>
              <w:rPr>
                <w:rFonts w:ascii="Calibri" w:hAnsi="Calibri"/>
                <w:sz w:val="22"/>
              </w:rPr>
              <w:t>~$0.88</w:t>
            </w:r>
          </w:p>
        </w:tc>
        <w:tc>
          <w:tcPr>
            <w:tcW w:type="dxa" w:w="1234"/>
          </w:tcPr>
          <w:p>
            <w:r>
              <w:rPr>
                <w:rFonts w:ascii="Calibri" w:hAnsi="Calibri"/>
                <w:sz w:val="22"/>
              </w:rPr>
              <w:t>0.0%</w:t>
            </w:r>
          </w:p>
        </w:tc>
      </w:tr>
      <w:tr>
        <w:tc>
          <w:tcPr>
            <w:tcW w:type="dxa" w:w="1234"/>
          </w:tcPr>
          <w:p>
            <w:r>
              <w:rPr>
                <w:rFonts w:ascii="Calibri" w:hAnsi="Calibri"/>
                <w:sz w:val="22"/>
              </w:rPr>
              <w:t>Cloud Titans Revenue ($M)</w:t>
            </w:r>
          </w:p>
        </w:tc>
        <w:tc>
          <w:tcPr>
            <w:tcW w:type="dxa" w:w="1234"/>
          </w:tcPr>
          <w:p>
            <w:r>
              <w:rPr>
                <w:rFonts w:ascii="Calibri" w:hAnsi="Calibri"/>
                <w:sz w:val="22"/>
              </w:rPr>
              <w:t>$1,373</w:t>
            </w:r>
          </w:p>
        </w:tc>
        <w:tc>
          <w:tcPr>
            <w:tcW w:type="dxa" w:w="1234"/>
          </w:tcPr>
          <w:p>
            <w:r>
              <w:rPr>
                <w:rFonts w:ascii="Calibri" w:hAnsi="Calibri"/>
                <w:sz w:val="22"/>
              </w:rPr>
              <w:t>$1,026</w:t>
            </w:r>
          </w:p>
        </w:tc>
        <w:tc>
          <w:tcPr>
            <w:tcW w:type="dxa" w:w="1234"/>
          </w:tcPr>
          <w:p>
            <w:r>
              <w:rPr>
                <w:rFonts w:ascii="Calibri" w:hAnsi="Calibri"/>
                <w:sz w:val="22"/>
              </w:rPr>
              <w:t>$1,418</w:t>
            </w:r>
          </w:p>
        </w:tc>
        <w:tc>
          <w:tcPr>
            <w:tcW w:type="dxa" w:w="1234"/>
          </w:tcPr>
          <w:p>
            <w:r>
              <w:rPr>
                <w:rFonts w:ascii="Calibri" w:hAnsi="Calibri"/>
                <w:sz w:val="22"/>
              </w:rPr>
              <w:t>+38.2%</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Campus Revenue ($M)</w:t>
            </w:r>
          </w:p>
        </w:tc>
        <w:tc>
          <w:tcPr>
            <w:tcW w:type="dxa" w:w="1234"/>
          </w:tcPr>
          <w:p>
            <w:r>
              <w:rPr>
                <w:rFonts w:ascii="Calibri" w:hAnsi="Calibri"/>
                <w:sz w:val="22"/>
              </w:rPr>
              <w:t>$232</w:t>
            </w:r>
          </w:p>
        </w:tc>
        <w:tc>
          <w:tcPr>
            <w:tcW w:type="dxa" w:w="1234"/>
          </w:tcPr>
          <w:p>
            <w:r>
              <w:rPr>
                <w:rFonts w:ascii="Calibri" w:hAnsi="Calibri"/>
                <w:sz w:val="22"/>
              </w:rPr>
              <w:t>$198</w:t>
            </w:r>
          </w:p>
        </w:tc>
        <w:tc>
          <w:tcPr>
            <w:tcW w:type="dxa" w:w="1234"/>
          </w:tcPr>
          <w:p>
            <w:r>
              <w:rPr>
                <w:rFonts w:ascii="Calibri" w:hAnsi="Calibri"/>
                <w:sz w:val="22"/>
              </w:rPr>
              <w:t>$273</w:t>
            </w:r>
          </w:p>
        </w:tc>
        <w:tc>
          <w:tcPr>
            <w:tcW w:type="dxa" w:w="1234"/>
          </w:tcPr>
          <w:p>
            <w:r>
              <w:rPr>
                <w:rFonts w:ascii="Calibri" w:hAnsi="Calibri"/>
                <w:sz w:val="22"/>
              </w:rPr>
              <w:t>+37.7%</w:t>
            </w:r>
          </w:p>
        </w:tc>
        <w:tc>
          <w:tcPr>
            <w:tcW w:type="dxa" w:w="1234"/>
          </w:tcPr>
          <w:p>
            <w:r>
              <w:rPr>
                <w:rFonts w:ascii="Calibri" w:hAnsi="Calibri"/>
                <w:sz w:val="22"/>
              </w:rPr>
              <w:t>$1,250M FY goal</w:t>
            </w:r>
          </w:p>
        </w:tc>
        <w:tc>
          <w:tcPr>
            <w:tcW w:type="dxa" w:w="1234"/>
          </w:tcPr>
          <w:p>
            <w:r>
              <w:rPr>
                <w:rFonts w:ascii="Calibri" w:hAnsi="Calibri"/>
                <w:sz w:val="22"/>
              </w:rPr>
              <w:t>On track</w:t>
            </w:r>
          </w:p>
        </w:tc>
      </w:tr>
    </w:tbl>
    <w:p>
      <w:r>
        <w:rPr>
          <w:rFonts w:ascii="Calibri" w:hAnsi="Calibri"/>
          <w:i/>
          <w:color w:val="525866"/>
          <w:sz w:val="22"/>
        </w:rPr>
        <w:t>Sources: Visible Alpha Consensus and Actuals Data; Q1 2026 Earnings Call Transcript (May 5, 2026). Total Revenue, Non-GAAP Gross Profit, Non-GAAP Operating Income, Non-GAAP EPS, Cloud Titans, and Campus figures sourced from Visible Alpha. Q2 2026 guidance from Q1 2026 earnings call: revenue ~$2.8B, gross margin 62–63%, operating margin 46–47%, diluted EPS ~$0.88.</w:t>
      </w:r>
    </w:p>
    <w:p>
      <w:pPr>
        <w:pStyle w:val="Heading3"/>
      </w:pPr>
      <w:r>
        <w:rPr>
          <w:rFonts w:ascii="Calibri" w:hAnsi="Calibri"/>
          <w:b/>
          <w:color w:val="3B4259"/>
          <w:sz w:val="24"/>
        </w:rPr>
        <w:t>Table 2 — Beat/Miss History: Last 8 Quarters (Top 2 KPIs: Total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$2,709</w:t>
            </w:r>
          </w:p>
        </w:tc>
        <w:tc>
          <w:tcPr>
            <w:tcW w:type="dxa" w:w="1440"/>
          </w:tcPr>
          <w:p>
            <w:r>
              <w:rPr>
                <w:rFonts w:ascii="Calibri" w:hAnsi="Calibri"/>
                <w:sz w:val="22"/>
              </w:rPr>
              <w:t>$2,615</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$0.87</w:t>
            </w:r>
          </w:p>
        </w:tc>
        <w:tc>
          <w:tcPr>
            <w:tcW w:type="dxa" w:w="1440"/>
          </w:tcPr>
          <w:p>
            <w:r>
              <w:rPr>
                <w:rFonts w:ascii="Calibri" w:hAnsi="Calibri"/>
                <w:sz w:val="22"/>
              </w:rPr>
              <w:t>$0.81</w:t>
            </w:r>
          </w:p>
        </w:tc>
        <w:tc>
          <w:tcPr>
            <w:tcW w:type="dxa" w:w="1440"/>
          </w:tcPr>
          <w:p>
            <w:r>
              <w:rPr>
                <w:rFonts w:ascii="Calibri" w:hAnsi="Calibri"/>
                <w:b/>
                <w:color w:val="30A46C"/>
                <w:sz w:val="22"/>
              </w:rPr>
              <w:t>+7.4%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$2,488</w:t>
            </w:r>
          </w:p>
        </w:tc>
        <w:tc>
          <w:tcPr>
            <w:tcW w:type="dxa" w:w="1440"/>
          </w:tcPr>
          <w:p>
            <w:r>
              <w:rPr>
                <w:rFonts w:ascii="Calibri" w:hAnsi="Calibri"/>
                <w:sz w:val="22"/>
              </w:rPr>
              <w:t>$2,382</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$0.82</w:t>
            </w:r>
          </w:p>
        </w:tc>
        <w:tc>
          <w:tcPr>
            <w:tcW w:type="dxa" w:w="1440"/>
          </w:tcPr>
          <w:p>
            <w:r>
              <w:rPr>
                <w:rFonts w:ascii="Calibri" w:hAnsi="Calibri"/>
                <w:sz w:val="22"/>
              </w:rPr>
              <w:t>$0.76</w:t>
            </w:r>
          </w:p>
        </w:tc>
        <w:tc>
          <w:tcPr>
            <w:tcW w:type="dxa" w:w="1440"/>
          </w:tcPr>
          <w:p>
            <w:r>
              <w:rPr>
                <w:rFonts w:ascii="Calibri" w:hAnsi="Calibri"/>
                <w:b/>
                <w:color w:val="30A46C"/>
                <w:sz w:val="22"/>
              </w:rPr>
              <w:t>+7.9%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$2,308</w:t>
            </w:r>
          </w:p>
        </w:tc>
        <w:tc>
          <w:tcPr>
            <w:tcW w:type="dxa" w:w="1440"/>
          </w:tcPr>
          <w:p>
            <w:r>
              <w:rPr>
                <w:rFonts w:ascii="Calibri" w:hAnsi="Calibri"/>
                <w:sz w:val="22"/>
              </w:rPr>
              <w:t>$2,258</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$0.75</w:t>
            </w:r>
          </w:p>
        </w:tc>
        <w:tc>
          <w:tcPr>
            <w:tcW w:type="dxa" w:w="1440"/>
          </w:tcPr>
          <w:p>
            <w:r>
              <w:rPr>
                <w:rFonts w:ascii="Calibri" w:hAnsi="Calibri"/>
                <w:sz w:val="22"/>
              </w:rPr>
              <w:t>$0.72</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$2,205</w:t>
            </w:r>
          </w:p>
        </w:tc>
        <w:tc>
          <w:tcPr>
            <w:tcW w:type="dxa" w:w="1440"/>
          </w:tcPr>
          <w:p>
            <w:r>
              <w:rPr>
                <w:rFonts w:ascii="Calibri" w:hAnsi="Calibri"/>
                <w:sz w:val="22"/>
              </w:rPr>
              <w:t>$2,107</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$0.73</w:t>
            </w:r>
          </w:p>
        </w:tc>
        <w:tc>
          <w:tcPr>
            <w:tcW w:type="dxa" w:w="1440"/>
          </w:tcPr>
          <w:p>
            <w:r>
              <w:rPr>
                <w:rFonts w:ascii="Calibri" w:hAnsi="Calibri"/>
                <w:sz w:val="22"/>
              </w:rPr>
              <w:t>$0.65</w:t>
            </w:r>
          </w:p>
        </w:tc>
        <w:tc>
          <w:tcPr>
            <w:tcW w:type="dxa" w:w="1440"/>
          </w:tcPr>
          <w:p>
            <w:r>
              <w:rPr>
                <w:rFonts w:ascii="Calibri" w:hAnsi="Calibri"/>
                <w:b/>
                <w:color w:val="30A46C"/>
                <w:sz w:val="22"/>
              </w:rPr>
              <w:t>+12.3%</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ANET has beaten consensus on both revenue and non-GAAP EPS in each of the last 4 reported quarters (8 consecutive beats across both KPIs), with revenue beats averaging ~3.8% and EPS beats averaging ~8.0% — a consistent beat-and-raise cadence that the market has come to expect and partially price in.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stable-to-positive since Q1 earnings — no formal revisions to Q2 or FY2026 numbers, but management raised its 3-year CAGR outlook to 20%+ (from mid-teens) and reiterated that supply constraints will not prevent achieving FY2026 guidance. Tone across three post-earnings conferences has been consistently bullish, with the CFO explicitly stating "we've never seen more demand" and the company reiterating its $3.5B AI revenue target for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~$2.8B</w:t>
            </w:r>
          </w:p>
        </w:tc>
        <w:tc>
          <w:tcPr>
            <w:tcW w:type="dxa" w:w="1728"/>
          </w:tcPr>
          <w:p>
            <w:r>
              <w:rPr>
                <w:rFonts w:ascii="Calibri" w:hAnsi="Calibri"/>
                <w:sz w:val="22"/>
              </w:rPr>
              <w:t>—</w:t>
            </w:r>
          </w:p>
        </w:tc>
        <w:tc>
          <w:tcPr>
            <w:tcW w:type="dxa" w:w="1728"/>
          </w:tcPr>
          <w:p>
            <w:r>
              <w:rPr>
                <w:rFonts w:ascii="Calibri" w:hAnsi="Calibri"/>
                <w:sz w:val="22"/>
              </w:rPr>
              <w:t>$2,827M</w:t>
            </w:r>
          </w:p>
        </w:tc>
        <w:tc>
          <w:tcPr>
            <w:tcW w:type="dxa" w:w="1728"/>
          </w:tcPr>
          <w:p>
            <w:r>
              <w:rPr>
                <w:rFonts w:ascii="Calibri" w:hAnsi="Calibri"/>
                <w:sz w:val="22"/>
              </w:rPr>
              <w:t>Unchanged; CFO reiterated comfort with guide at Needham (May 14) and William Blair (June 2) conferences</w:t>
            </w:r>
          </w:p>
        </w:tc>
      </w:tr>
      <w:tr>
        <w:tc>
          <w:tcPr>
            <w:tcW w:type="dxa" w:w="1728"/>
          </w:tcPr>
          <w:p>
            <w:r>
              <w:rPr>
                <w:rFonts w:ascii="Calibri" w:hAnsi="Calibri"/>
                <w:sz w:val="22"/>
              </w:rPr>
              <w:t>Q2 2026 Gross Margin</w:t>
            </w:r>
          </w:p>
        </w:tc>
        <w:tc>
          <w:tcPr>
            <w:tcW w:type="dxa" w:w="1728"/>
          </w:tcPr>
          <w:p>
            <w:r>
              <w:rPr>
                <w:rFonts w:ascii="Calibri" w:hAnsi="Calibri"/>
                <w:sz w:val="22"/>
              </w:rPr>
              <w:t>62–63%</w:t>
            </w:r>
          </w:p>
        </w:tc>
        <w:tc>
          <w:tcPr>
            <w:tcW w:type="dxa" w:w="1728"/>
          </w:tcPr>
          <w:p>
            <w:r>
              <w:rPr>
                <w:rFonts w:ascii="Calibri" w:hAnsi="Calibri"/>
                <w:sz w:val="22"/>
              </w:rPr>
              <w:t>—</w:t>
            </w:r>
          </w:p>
        </w:tc>
        <w:tc>
          <w:tcPr>
            <w:tcW w:type="dxa" w:w="1728"/>
          </w:tcPr>
          <w:p>
            <w:r>
              <w:rPr>
                <w:rFonts w:ascii="Calibri" w:hAnsi="Calibri"/>
                <w:sz w:val="22"/>
              </w:rPr>
              <w:t>~62.4% implied</w:t>
            </w:r>
          </w:p>
        </w:tc>
        <w:tc>
          <w:tcPr>
            <w:tcW w:type="dxa" w:w="1728"/>
          </w:tcPr>
          <w:p>
            <w:r>
              <w:rPr>
                <w:rFonts w:ascii="Calibri" w:hAnsi="Calibri"/>
                <w:sz w:val="22"/>
              </w:rPr>
              <w:t>Unchanged; management reiterated 62–64% FY band at JPM (May 19) and BofA (June 3) conferences</w:t>
            </w:r>
          </w:p>
        </w:tc>
      </w:tr>
      <w:tr>
        <w:tc>
          <w:tcPr>
            <w:tcW w:type="dxa" w:w="1728"/>
          </w:tcPr>
          <w:p>
            <w:r>
              <w:rPr>
                <w:rFonts w:ascii="Calibri" w:hAnsi="Calibri"/>
                <w:sz w:val="22"/>
              </w:rPr>
              <w:t>Q2 2026 Operating Margin</w:t>
            </w:r>
          </w:p>
        </w:tc>
        <w:tc>
          <w:tcPr>
            <w:tcW w:type="dxa" w:w="1728"/>
          </w:tcPr>
          <w:p>
            <w:r>
              <w:rPr>
                <w:rFonts w:ascii="Calibri" w:hAnsi="Calibri"/>
                <w:sz w:val="22"/>
              </w:rPr>
              <w:t>46–47%</w:t>
            </w:r>
          </w:p>
        </w:tc>
        <w:tc>
          <w:tcPr>
            <w:tcW w:type="dxa" w:w="1728"/>
          </w:tcPr>
          <w:p>
            <w:r>
              <w:rPr>
                <w:rFonts w:ascii="Calibri" w:hAnsi="Calibri"/>
                <w:sz w:val="22"/>
              </w:rPr>
              <w:t>—</w:t>
            </w:r>
          </w:p>
        </w:tc>
        <w:tc>
          <w:tcPr>
            <w:tcW w:type="dxa" w:w="1728"/>
          </w:tcPr>
          <w:p>
            <w:r>
              <w:rPr>
                <w:rFonts w:ascii="Calibri" w:hAnsi="Calibri"/>
                <w:sz w:val="22"/>
              </w:rPr>
              <w:t>~46.7% implied</w:t>
            </w:r>
          </w:p>
        </w:tc>
        <w:tc>
          <w:tcPr>
            <w:tcW w:type="dxa" w:w="1728"/>
          </w:tcPr>
          <w:p>
            <w:r>
              <w:rPr>
                <w:rFonts w:ascii="Calibri" w:hAnsi="Calibri"/>
                <w:sz w:val="22"/>
              </w:rPr>
              <w:t>Unchanged</w:t>
            </w:r>
          </w:p>
        </w:tc>
      </w:tr>
      <w:tr>
        <w:tc>
          <w:tcPr>
            <w:tcW w:type="dxa" w:w="1728"/>
          </w:tcPr>
          <w:p>
            <w:r>
              <w:rPr>
                <w:rFonts w:ascii="Calibri" w:hAnsi="Calibri"/>
                <w:sz w:val="22"/>
              </w:rPr>
              <w:t>Q2 2026 Non-GAAP EPS</w:t>
            </w:r>
          </w:p>
        </w:tc>
        <w:tc>
          <w:tcPr>
            <w:tcW w:type="dxa" w:w="1728"/>
          </w:tcPr>
          <w:p>
            <w:r>
              <w:rPr>
                <w:rFonts w:ascii="Calibri" w:hAnsi="Calibri"/>
                <w:sz w:val="22"/>
              </w:rPr>
              <w:t>~$0.88 (~1.27B diluted shares)</w:t>
            </w:r>
          </w:p>
        </w:tc>
        <w:tc>
          <w:tcPr>
            <w:tcW w:type="dxa" w:w="1728"/>
          </w:tcPr>
          <w:p>
            <w:r>
              <w:rPr>
                <w:rFonts w:ascii="Calibri" w:hAnsi="Calibri"/>
                <w:sz w:val="22"/>
              </w:rPr>
              <w:t>—</w:t>
            </w:r>
          </w:p>
        </w:tc>
        <w:tc>
          <w:tcPr>
            <w:tcW w:type="dxa" w:w="1728"/>
          </w:tcPr>
          <w:p>
            <w:r>
              <w:rPr>
                <w:rFonts w:ascii="Calibri" w:hAnsi="Calibri"/>
                <w:sz w:val="22"/>
              </w:rPr>
              <w:t>$0.88</w:t>
            </w:r>
          </w:p>
        </w:tc>
        <w:tc>
          <w:tcPr>
            <w:tcW w:type="dxa" w:w="1728"/>
          </w:tcPr>
          <w:p>
            <w:r>
              <w:rPr>
                <w:rFonts w:ascii="Calibri" w:hAnsi="Calibri"/>
                <w:sz w:val="22"/>
              </w:rPr>
              <w:t>Unchanged; consensus exactly at guidance midpoint</w:t>
            </w:r>
          </w:p>
        </w:tc>
      </w:tr>
      <w:tr>
        <w:tc>
          <w:tcPr>
            <w:tcW w:type="dxa" w:w="1728"/>
          </w:tcPr>
          <w:p>
            <w:r>
              <w:rPr>
                <w:rFonts w:ascii="Calibri" w:hAnsi="Calibri"/>
                <w:sz w:val="22"/>
              </w:rPr>
              <w:t>FY2026 Revenue</w:t>
            </w:r>
          </w:p>
        </w:tc>
        <w:tc>
          <w:tcPr>
            <w:tcW w:type="dxa" w:w="1728"/>
          </w:tcPr>
          <w:p>
            <w:r>
              <w:rPr>
                <w:rFonts w:ascii="Calibri" w:hAnsi="Calibri"/>
                <w:sz w:val="22"/>
              </w:rPr>
              <w:t>~$11.5B (+27.7% YoY)</w:t>
            </w:r>
          </w:p>
        </w:tc>
        <w:tc>
          <w:tcPr>
            <w:tcW w:type="dxa" w:w="1728"/>
          </w:tcPr>
          <w:p>
            <w:r>
              <w:rPr>
                <w:rFonts w:ascii="Calibri" w:hAnsi="Calibri"/>
                <w:sz w:val="22"/>
              </w:rPr>
              <w:t>—</w:t>
            </w:r>
          </w:p>
        </w:tc>
        <w:tc>
          <w:tcPr>
            <w:tcW w:type="dxa" w:w="1728"/>
          </w:tcPr>
          <w:p>
            <w:r>
              <w:rPr>
                <w:rFonts w:ascii="Calibri" w:hAnsi="Calibri"/>
                <w:sz w:val="22"/>
              </w:rPr>
              <w:t>$11,600M</w:t>
            </w:r>
          </w:p>
        </w:tc>
        <w:tc>
          <w:tcPr>
            <w:tcW w:type="dxa" w:w="1728"/>
          </w:tcPr>
          <w:p>
            <w:r>
              <w:rPr>
                <w:rFonts w:ascii="Calibri" w:hAnsi="Calibri"/>
                <w:sz w:val="22"/>
              </w:rPr>
              <w:t>Unchanged; CFO reiterated "$11.5B" at William Blair (June 2) and BofA (June 3); consensus slightly above midpoint</w:t>
            </w:r>
          </w:p>
        </w:tc>
      </w:tr>
      <w:tr>
        <w:tc>
          <w:tcPr>
            <w:tcW w:type="dxa" w:w="1728"/>
          </w:tcPr>
          <w:p>
            <w:r>
              <w:rPr>
                <w:rFonts w:ascii="Calibri" w:hAnsi="Calibri"/>
                <w:sz w:val="22"/>
              </w:rPr>
              <w:t>FY2026 AI Revenue Target</w:t>
            </w:r>
          </w:p>
        </w:tc>
        <w:tc>
          <w:tcPr>
            <w:tcW w:type="dxa" w:w="1728"/>
          </w:tcPr>
          <w:p>
            <w:r>
              <w:rPr>
                <w:rFonts w:ascii="Calibri" w:hAnsi="Calibri"/>
                <w:sz w:val="22"/>
              </w:rPr>
              <w:t>$3.5B (raised from $3.25B on Q1 call)</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Reiterated at all three post-earnings conferences; represents &gt;2x YoY AI revenue growth</w:t>
            </w:r>
          </w:p>
        </w:tc>
      </w:tr>
      <w:tr>
        <w:tc>
          <w:tcPr>
            <w:tcW w:type="dxa" w:w="1728"/>
          </w:tcPr>
          <w:p>
            <w:r>
              <w:rPr>
                <w:rFonts w:ascii="Calibri" w:hAnsi="Calibri"/>
                <w:sz w:val="22"/>
              </w:rPr>
              <w:t>FY2026 Campus Revenue Target</w:t>
            </w:r>
          </w:p>
        </w:tc>
        <w:tc>
          <w:tcPr>
            <w:tcW w:type="dxa" w:w="1728"/>
          </w:tcPr>
          <w:p>
            <w:r>
              <w:rPr>
                <w:rFonts w:ascii="Calibri" w:hAnsi="Calibri"/>
                <w:sz w:val="22"/>
              </w:rPr>
              <w:t>$1.25B</w:t>
            </w:r>
          </w:p>
        </w:tc>
        <w:tc>
          <w:tcPr>
            <w:tcW w:type="dxa" w:w="1728"/>
          </w:tcPr>
          <w:p>
            <w:r>
              <w:rPr>
                <w:rFonts w:ascii="Calibri" w:hAnsi="Calibri"/>
                <w:sz w:val="22"/>
              </w:rPr>
              <w:t>—</w:t>
            </w:r>
          </w:p>
        </w:tc>
        <w:tc>
          <w:tcPr>
            <w:tcW w:type="dxa" w:w="1728"/>
          </w:tcPr>
          <w:p>
            <w:r>
              <w:rPr>
                <w:rFonts w:ascii="Calibri" w:hAnsi="Calibri"/>
                <w:sz w:val="22"/>
              </w:rPr>
              <w:t>$1,167M</w:t>
            </w:r>
          </w:p>
        </w:tc>
        <w:tc>
          <w:tcPr>
            <w:tcW w:type="dxa" w:w="1728"/>
          </w:tcPr>
          <w:p>
            <w:r>
              <w:rPr>
                <w:rFonts w:ascii="Calibri" w:hAnsi="Calibri"/>
                <w:sz w:val="22"/>
              </w:rPr>
              <w:t>Unchanged; consensus slightly below target; management cited 6-week campus lead times as competitive advantage</w:t>
            </w:r>
          </w:p>
        </w:tc>
      </w:tr>
      <w:tr>
        <w:tc>
          <w:tcPr>
            <w:tcW w:type="dxa" w:w="1728"/>
          </w:tcPr>
          <w:p>
            <w:r>
              <w:rPr>
                <w:rFonts w:ascii="Calibri" w:hAnsi="Calibri"/>
                <w:sz w:val="22"/>
              </w:rPr>
              <w:t>3-Year Revenue CAGR (2025–2028)</w:t>
            </w:r>
          </w:p>
        </w:tc>
        <w:tc>
          <w:tcPr>
            <w:tcW w:type="dxa" w:w="1728"/>
          </w:tcPr>
          <w:p>
            <w:r>
              <w:rPr>
                <w:rFonts w:ascii="Calibri" w:hAnsi="Calibri"/>
                <w:sz w:val="22"/>
              </w:rPr>
              <w:t>20%+ (raised on Q1 call from mid-teens)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JPM TMC Conference (May 19); CFO cited "28% growth makes mid-teens no longer make sense"</w:t>
            </w:r>
          </w:p>
        </w:tc>
      </w:tr>
    </w:tbl>
    <w:p>
      <w:r>
        <w:rPr>
          <w:rFonts w:ascii="Calibri" w:hAnsi="Calibri"/>
          <w:color w:val="525866"/>
          <w:sz w:val="22"/>
        </w:rPr>
        <w:t>Sources: Q1 2026 Earnings Call Transcript (May 5, 2026); Needham Technology, Media &amp; Consumer Conference (May 14, 2026); JP Morgan Global Technology, Media and Communications Conference (May 19, 2026); William Blair Growth Stock Conference (June 2, 2026); Bank of America Global Technology Conference (June 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stable-to-slightly-higher since the Q1 print — Q2 revenue consensus moved from $2,828M (5 days post-Q1 earnings) to $2,827M today, essentially flat, while FY2026 consensus ticked up from $11,584M to $11,600M. The lack of meaningful upward revision despite bullish conference commentary suggests the Street is waiting for Q2 execution proof before embedding further upside — a setup that rewards a clean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$2,828M</w:t>
            </w:r>
          </w:p>
        </w:tc>
        <w:tc>
          <w:tcPr>
            <w:tcW w:type="dxa" w:w="1080"/>
          </w:tcPr>
          <w:p>
            <w:r>
              <w:rPr>
                <w:rFonts w:ascii="Calibri" w:hAnsi="Calibri"/>
                <w:sz w:val="22"/>
              </w:rPr>
              <w:t>$2,827M</w:t>
            </w:r>
          </w:p>
        </w:tc>
        <w:tc>
          <w:tcPr>
            <w:tcW w:type="dxa" w:w="1080"/>
          </w:tcPr>
          <w:p>
            <w:r>
              <w:rPr>
                <w:rFonts w:ascii="Calibri" w:hAnsi="Calibri"/>
                <w:sz w:val="22"/>
              </w:rPr>
              <w:t>−0.0%</w:t>
            </w:r>
          </w:p>
        </w:tc>
        <w:tc>
          <w:tcPr>
            <w:tcW w:type="dxa" w:w="1080"/>
          </w:tcPr>
          <w:p>
            <w:r>
              <w:rPr>
                <w:rFonts w:ascii="Calibri" w:hAnsi="Calibri"/>
                <w:sz w:val="22"/>
              </w:rPr>
              <w:t>~$2,800M</w:t>
            </w:r>
          </w:p>
        </w:tc>
        <w:tc>
          <w:tcPr>
            <w:tcW w:type="dxa" w:w="1080"/>
          </w:tcPr>
          <w:p>
            <w:r>
              <w:rPr>
                <w:rFonts w:ascii="Calibri" w:hAnsi="Calibri"/>
                <w:sz w:val="22"/>
              </w:rPr>
              <w:t>~$2,800M</w:t>
            </w:r>
          </w:p>
        </w:tc>
        <w:tc>
          <w:tcPr>
            <w:tcW w:type="dxa" w:w="1080"/>
          </w:tcPr>
          <w:p>
            <w:r>
              <w:rPr>
                <w:rFonts w:ascii="Calibri" w:hAnsi="Calibri"/>
                <w:sz w:val="22"/>
              </w:rPr>
              <w:t>Unchanged</w:t>
            </w:r>
          </w:p>
        </w:tc>
        <w:tc>
          <w:tcPr>
            <w:tcW w:type="dxa" w:w="1080"/>
          </w:tcPr>
          <w:p>
            <w:r>
              <w:rPr>
                <w:rFonts w:ascii="Calibri" w:hAnsi="Calibri"/>
                <w:sz w:val="22"/>
              </w:rPr>
              <w:t>+0.97%</w:t>
            </w:r>
          </w:p>
        </w:tc>
      </w:tr>
      <w:tr>
        <w:tc>
          <w:tcPr>
            <w:tcW w:type="dxa" w:w="1080"/>
          </w:tcPr>
          <w:p>
            <w:r>
              <w:rPr>
                <w:rFonts w:ascii="Calibri" w:hAnsi="Calibri"/>
                <w:sz w:val="22"/>
              </w:rPr>
              <w:t>Non-GAAP EPS — Q2 2026</w:t>
            </w:r>
          </w:p>
        </w:tc>
        <w:tc>
          <w:tcPr>
            <w:tcW w:type="dxa" w:w="1080"/>
          </w:tcPr>
          <w:p>
            <w:r>
              <w:rPr>
                <w:rFonts w:ascii="Calibri" w:hAnsi="Calibri"/>
                <w:sz w:val="22"/>
              </w:rPr>
              <w:t>$0.883</w:t>
            </w:r>
          </w:p>
        </w:tc>
        <w:tc>
          <w:tcPr>
            <w:tcW w:type="dxa" w:w="1080"/>
          </w:tcPr>
          <w:p>
            <w:r>
              <w:rPr>
                <w:rFonts w:ascii="Calibri" w:hAnsi="Calibri"/>
                <w:sz w:val="22"/>
              </w:rPr>
              <w:t>$0.883</w:t>
            </w:r>
          </w:p>
        </w:tc>
        <w:tc>
          <w:tcPr>
            <w:tcW w:type="dxa" w:w="1080"/>
          </w:tcPr>
          <w:p>
            <w:r>
              <w:rPr>
                <w:rFonts w:ascii="Calibri" w:hAnsi="Calibri"/>
                <w:sz w:val="22"/>
              </w:rPr>
              <w:t>0.0%</w:t>
            </w:r>
          </w:p>
        </w:tc>
        <w:tc>
          <w:tcPr>
            <w:tcW w:type="dxa" w:w="1080"/>
          </w:tcPr>
          <w:p>
            <w:r>
              <w:rPr>
                <w:rFonts w:ascii="Calibri" w:hAnsi="Calibri"/>
                <w:sz w:val="22"/>
              </w:rPr>
              <w:t>~$0.88</w:t>
            </w:r>
          </w:p>
        </w:tc>
        <w:tc>
          <w:tcPr>
            <w:tcW w:type="dxa" w:w="1080"/>
          </w:tcPr>
          <w:p>
            <w:r>
              <w:rPr>
                <w:rFonts w:ascii="Calibri" w:hAnsi="Calibri"/>
                <w:sz w:val="22"/>
              </w:rPr>
              <w:t>~$0.88</w:t>
            </w:r>
          </w:p>
        </w:tc>
        <w:tc>
          <w:tcPr>
            <w:tcW w:type="dxa" w:w="1080"/>
          </w:tcPr>
          <w:p>
            <w:r>
              <w:rPr>
                <w:rFonts w:ascii="Calibri" w:hAnsi="Calibri"/>
                <w:sz w:val="22"/>
              </w:rPr>
              <w:t>Unchanged</w:t>
            </w:r>
          </w:p>
        </w:tc>
        <w:tc>
          <w:tcPr>
            <w:tcW w:type="dxa" w:w="1080"/>
          </w:tcPr>
          <w:p>
            <w:r>
              <w:rPr>
                <w:rFonts w:ascii="Calibri" w:hAnsi="Calibri"/>
                <w:sz w:val="22"/>
              </w:rPr>
              <w:t>+0.3%</w:t>
            </w:r>
          </w:p>
        </w:tc>
      </w:tr>
      <w:tr>
        <w:tc>
          <w:tcPr>
            <w:tcW w:type="dxa" w:w="1080"/>
          </w:tcPr>
          <w:p>
            <w:r>
              <w:rPr>
                <w:rFonts w:ascii="Calibri" w:hAnsi="Calibri"/>
                <w:sz w:val="22"/>
              </w:rPr>
              <w:t>Non-GAAP Gross Profit — Q2 2026</w:t>
            </w:r>
          </w:p>
        </w:tc>
        <w:tc>
          <w:tcPr>
            <w:tcW w:type="dxa" w:w="1080"/>
          </w:tcPr>
          <w:p>
            <w:r>
              <w:rPr>
                <w:rFonts w:ascii="Calibri" w:hAnsi="Calibri"/>
                <w:sz w:val="22"/>
              </w:rPr>
              <w:t>$1,765M</w:t>
            </w:r>
          </w:p>
        </w:tc>
        <w:tc>
          <w:tcPr>
            <w:tcW w:type="dxa" w:w="1080"/>
          </w:tcPr>
          <w:p>
            <w:r>
              <w:rPr>
                <w:rFonts w:ascii="Calibri" w:hAnsi="Calibri"/>
                <w:sz w:val="22"/>
              </w:rPr>
              <w:t>$1,765M</w:t>
            </w:r>
          </w:p>
        </w:tc>
        <w:tc>
          <w:tcPr>
            <w:tcW w:type="dxa" w:w="1080"/>
          </w:tcPr>
          <w:p>
            <w:r>
              <w:rPr>
                <w:rFonts w:ascii="Calibri" w:hAnsi="Calibri"/>
                <w:sz w:val="22"/>
              </w:rPr>
              <w:t>0.0%</w:t>
            </w:r>
          </w:p>
        </w:tc>
        <w:tc>
          <w:tcPr>
            <w:tcW w:type="dxa" w:w="1080"/>
          </w:tcPr>
          <w:p>
            <w:r>
              <w:rPr>
                <w:rFonts w:ascii="Calibri" w:hAnsi="Calibri"/>
                <w:sz w:val="22"/>
              </w:rPr>
              <w:t>62–63% range</w:t>
            </w:r>
          </w:p>
        </w:tc>
        <w:tc>
          <w:tcPr>
            <w:tcW w:type="dxa" w:w="1080"/>
          </w:tcPr>
          <w:p>
            <w:r>
              <w:rPr>
                <w:rFonts w:ascii="Calibri" w:hAnsi="Calibri"/>
                <w:sz w:val="22"/>
              </w:rPr>
              <w:t>62–63% range</w:t>
            </w:r>
          </w:p>
        </w:tc>
        <w:tc>
          <w:tcPr>
            <w:tcW w:type="dxa" w:w="1080"/>
          </w:tcPr>
          <w:p>
            <w:r>
              <w:rPr>
                <w:rFonts w:ascii="Calibri" w:hAnsi="Calibri"/>
                <w:sz w:val="22"/>
              </w:rPr>
              <w:t>Unchanged</w:t>
            </w:r>
          </w:p>
        </w:tc>
        <w:tc>
          <w:tcPr>
            <w:tcW w:type="dxa" w:w="1080"/>
          </w:tcPr>
          <w:p>
            <w:r>
              <w:rPr>
                <w:rFonts w:ascii="Calibri" w:hAnsi="Calibri"/>
                <w:sz w:val="22"/>
              </w:rPr>
              <w:t>~62.4% implied</w:t>
            </w:r>
          </w:p>
        </w:tc>
      </w:tr>
      <w:tr>
        <w:tc>
          <w:tcPr>
            <w:tcW w:type="dxa" w:w="1080"/>
          </w:tcPr>
          <w:p>
            <w:r>
              <w:rPr>
                <w:rFonts w:ascii="Calibri" w:hAnsi="Calibri"/>
                <w:sz w:val="22"/>
              </w:rPr>
              <w:t>Total Revenue — FY2026</w:t>
            </w:r>
          </w:p>
        </w:tc>
        <w:tc>
          <w:tcPr>
            <w:tcW w:type="dxa" w:w="1080"/>
          </w:tcPr>
          <w:p>
            <w:r>
              <w:rPr>
                <w:rFonts w:ascii="Calibri" w:hAnsi="Calibri"/>
                <w:sz w:val="22"/>
              </w:rPr>
              <w:t>$11,584M</w:t>
            </w:r>
          </w:p>
        </w:tc>
        <w:tc>
          <w:tcPr>
            <w:tcW w:type="dxa" w:w="1080"/>
          </w:tcPr>
          <w:p>
            <w:r>
              <w:rPr>
                <w:rFonts w:ascii="Calibri" w:hAnsi="Calibri"/>
                <w:sz w:val="22"/>
              </w:rPr>
              <w:t>$11,600M</w:t>
            </w:r>
          </w:p>
        </w:tc>
        <w:tc>
          <w:tcPr>
            <w:tcW w:type="dxa" w:w="1080"/>
          </w:tcPr>
          <w:p>
            <w:r>
              <w:rPr>
                <w:rFonts w:ascii="Calibri" w:hAnsi="Calibri"/>
                <w:sz w:val="22"/>
              </w:rPr>
              <w:t>+0.1%</w:t>
            </w:r>
          </w:p>
        </w:tc>
        <w:tc>
          <w:tcPr>
            <w:tcW w:type="dxa" w:w="1080"/>
          </w:tcPr>
          <w:p>
            <w:r>
              <w:rPr>
                <w:rFonts w:ascii="Calibri" w:hAnsi="Calibri"/>
                <w:sz w:val="22"/>
              </w:rPr>
              <w:t>~$11,500M (+27.7%)</w:t>
            </w:r>
          </w:p>
        </w:tc>
        <w:tc>
          <w:tcPr>
            <w:tcW w:type="dxa" w:w="1080"/>
          </w:tcPr>
          <w:p>
            <w:r>
              <w:rPr>
                <w:rFonts w:ascii="Calibri" w:hAnsi="Calibri"/>
                <w:sz w:val="22"/>
              </w:rPr>
              <w:t>~$11,500M (+27.7%)</w:t>
            </w:r>
          </w:p>
        </w:tc>
        <w:tc>
          <w:tcPr>
            <w:tcW w:type="dxa" w:w="1080"/>
          </w:tcPr>
          <w:p>
            <w:r>
              <w:rPr>
                <w:rFonts w:ascii="Calibri" w:hAnsi="Calibri"/>
                <w:sz w:val="22"/>
              </w:rPr>
              <w:t>Unchanged</w:t>
            </w:r>
          </w:p>
        </w:tc>
        <w:tc>
          <w:tcPr>
            <w:tcW w:type="dxa" w:w="1080"/>
          </w:tcPr>
          <w:p>
            <w:r>
              <w:rPr>
                <w:rFonts w:ascii="Calibri" w:hAnsi="Calibri"/>
                <w:sz w:val="22"/>
              </w:rPr>
              <w:t>+0.9%</w:t>
            </w:r>
          </w:p>
        </w:tc>
      </w:tr>
      <w:tr>
        <w:tc>
          <w:tcPr>
            <w:tcW w:type="dxa" w:w="1080"/>
          </w:tcPr>
          <w:p>
            <w:r>
              <w:rPr>
                <w:rFonts w:ascii="Calibri" w:hAnsi="Calibri"/>
                <w:sz w:val="22"/>
              </w:rPr>
              <w:t>Non-GAAP EPS — FY2026</w:t>
            </w:r>
          </w:p>
        </w:tc>
        <w:tc>
          <w:tcPr>
            <w:tcW w:type="dxa" w:w="1080"/>
          </w:tcPr>
          <w:p>
            <w:r>
              <w:rPr>
                <w:rFonts w:ascii="Calibri" w:hAnsi="Calibri"/>
                <w:sz w:val="22"/>
              </w:rPr>
              <w:t>$3.633</w:t>
            </w:r>
          </w:p>
        </w:tc>
        <w:tc>
          <w:tcPr>
            <w:tcW w:type="dxa" w:w="1080"/>
          </w:tcPr>
          <w:p>
            <w:r>
              <w:rPr>
                <w:rFonts w:ascii="Calibri" w:hAnsi="Calibri"/>
                <w:sz w:val="22"/>
              </w:rPr>
              <w:t>$3.638</w:t>
            </w:r>
          </w:p>
        </w:tc>
        <w:tc>
          <w:tcPr>
            <w:tcW w:type="dxa" w:w="1080"/>
          </w:tcPr>
          <w:p>
            <w:r>
              <w:rPr>
                <w:rFonts w:ascii="Calibri" w:hAnsi="Calibri"/>
                <w:sz w:val="22"/>
              </w:rPr>
              <w:t>+0.1%</w:t>
            </w:r>
          </w:p>
        </w:tc>
        <w:tc>
          <w:tcPr>
            <w:tcW w:type="dxa" w:w="1080"/>
          </w:tcPr>
          <w:p>
            <w:r>
              <w:rPr>
                <w:rFonts w:ascii="Calibri" w:hAnsi="Calibri"/>
                <w:sz w:val="22"/>
              </w:rPr>
              <w:t>~46% OM; ~$0.88 Q2</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Campus Revenue — FY2026</w:t>
            </w:r>
          </w:p>
        </w:tc>
        <w:tc>
          <w:tcPr>
            <w:tcW w:type="dxa" w:w="1080"/>
          </w:tcPr>
          <w:p>
            <w:r>
              <w:rPr>
                <w:rFonts w:ascii="Calibri" w:hAnsi="Calibri"/>
                <w:sz w:val="22"/>
              </w:rPr>
              <w:t>$1,167M</w:t>
            </w:r>
          </w:p>
        </w:tc>
        <w:tc>
          <w:tcPr>
            <w:tcW w:type="dxa" w:w="1080"/>
          </w:tcPr>
          <w:p>
            <w:r>
              <w:rPr>
                <w:rFonts w:ascii="Calibri" w:hAnsi="Calibri"/>
                <w:sz w:val="22"/>
              </w:rPr>
              <w:t>$1,167M</w:t>
            </w:r>
          </w:p>
        </w:tc>
        <w:tc>
          <w:tcPr>
            <w:tcW w:type="dxa" w:w="1080"/>
          </w:tcPr>
          <w:p>
            <w:r>
              <w:rPr>
                <w:rFonts w:ascii="Calibri" w:hAnsi="Calibri"/>
                <w:sz w:val="22"/>
              </w:rPr>
              <w:t>0.0%</w:t>
            </w:r>
          </w:p>
        </w:tc>
        <w:tc>
          <w:tcPr>
            <w:tcW w:type="dxa" w:w="1080"/>
          </w:tcPr>
          <w:p>
            <w:r>
              <w:rPr>
                <w:rFonts w:ascii="Calibri" w:hAnsi="Calibri"/>
                <w:sz w:val="22"/>
              </w:rPr>
              <w:t>$1,250M target</w:t>
            </w:r>
          </w:p>
        </w:tc>
        <w:tc>
          <w:tcPr>
            <w:tcW w:type="dxa" w:w="1080"/>
          </w:tcPr>
          <w:p>
            <w:r>
              <w:rPr>
                <w:rFonts w:ascii="Calibri" w:hAnsi="Calibri"/>
                <w:sz w:val="22"/>
              </w:rPr>
              <w:t>$1,250M target</w:t>
            </w:r>
          </w:p>
        </w:tc>
        <w:tc>
          <w:tcPr>
            <w:tcW w:type="dxa" w:w="1080"/>
          </w:tcPr>
          <w:p>
            <w:r>
              <w:rPr>
                <w:rFonts w:ascii="Calibri" w:hAnsi="Calibri"/>
                <w:sz w:val="22"/>
              </w:rPr>
              <w:t>Unchanged</w:t>
            </w:r>
          </w:p>
        </w:tc>
        <w:tc>
          <w:tcPr>
            <w:tcW w:type="dxa" w:w="1080"/>
          </w:tcPr>
          <w:p>
            <w:r>
              <w:rPr>
                <w:rFonts w:ascii="Calibri" w:hAnsi="Calibri"/>
                <w:sz w:val="22"/>
              </w:rPr>
              <w:t>−6.6% below target</w:t>
            </w:r>
          </w:p>
        </w:tc>
      </w:tr>
    </w:tbl>
    <w:p>
      <w:r>
        <w:rPr>
          <w:rFonts w:ascii="Calibri" w:hAnsi="Calibri"/>
          <w:color w:val="525866"/>
          <w:sz w:val="22"/>
        </w:rPr>
        <w:t>The near-zero estimate drift since Q1 earnings reflects a Street that is anchored to guidance rather than embedding incremental upside — consistent with management's conservative guidance philosophy ("beat and raise"). The campus consensus running ~6.6% below the $1.25B target is notable: if Arista delivers on its campus goal, there is meaningful upside to the FY consensus.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ANET's +8.6% recovery since Q1 earnings (vs. SPY +4.7%) was driven primarily by multiple re-expansion and sentiment recovery after the initial post-earnings selloff, not by estimate revisions (which were flat). The stock bottomed at $136 on May 11 — a 20% drawdown from the pre-earnings close — before recovering to $187 by July 10 as management's bullish conference circuit reassured investors on demand durability and supply manageability.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ANET vs. S&amp;P 500 (SPY) — Indexed to 100 at Q1 2026 Earnings Date (May 5, 2026). Source: Yahoo Finance / Stock Price Data.</w:t>
      </w:r>
    </w:p>
    <w:p>
      <w:pPr>
        <w:pStyle w:val="ListBullet"/>
        <w:ind w:left="360" w:hanging="360"/>
      </w:pPr>
      <w:r>
        <w:rPr>
          <w:rFonts w:ascii="Calibri" w:hAnsi="Calibri"/>
          <w:b/>
          <w:color w:val="525866"/>
          <w:sz w:val="22"/>
        </w:rPr>
        <w:t xml:space="preserve">Post-Q1 Selloff (May 5–11): </w:t>
      </w:r>
      <w:r>
        <w:rPr>
          <w:rFonts w:ascii="Calibri" w:hAnsi="Calibri"/>
          <w:color w:val="525866"/>
          <w:sz w:val="22"/>
        </w:rPr>
        <w:t>ANET fell from $170 to $136 (-20%) in the week following Q1 earnings despite a revenue beat, as investors were disappointed by Q2 guidance that came in at the consensus midpoint rather than above it, and by the breadth of supply chain constraints disclosed.</w:t>
      </w:r>
    </w:p>
    <w:p>
      <w:pPr>
        <w:pStyle w:val="ListBullet"/>
        <w:ind w:left="360" w:hanging="360"/>
      </w:pPr>
      <w:r>
        <w:rPr>
          <w:rFonts w:ascii="Calibri" w:hAnsi="Calibri"/>
          <w:b/>
          <w:color w:val="525866"/>
          <w:sz w:val="22"/>
        </w:rPr>
        <w:t xml:space="preserve">Conference Recovery (May 14 – June 3): </w:t>
      </w:r>
      <w:r>
        <w:rPr>
          <w:rFonts w:ascii="Calibri" w:hAnsi="Calibri"/>
          <w:color w:val="525866"/>
          <w:sz w:val="22"/>
        </w:rPr>
        <w:t>Shares recovered from $136 to $175 (+29%) as management appeared at Needham, JPM, William Blair, and BofA conferences, consistently reiterating demand strength, supply manageability, and the raised 3-year CAGR outlook. The CFO's statement that supply constraints pose "no constraint" to FY2026 guidance was a key catalyst.</w:t>
      </w:r>
    </w:p>
    <w:p>
      <w:pPr>
        <w:pStyle w:val="ListBullet"/>
        <w:ind w:left="360" w:hanging="360"/>
      </w:pPr>
      <w:r>
        <w:rPr>
          <w:rFonts w:ascii="Calibri" w:hAnsi="Calibri"/>
          <w:b/>
          <w:color w:val="525866"/>
          <w:sz w:val="22"/>
        </w:rPr>
        <w:t xml:space="preserve">1.6T Product Launch (June 9): </w:t>
      </w:r>
      <w:r>
        <w:rPr>
          <w:rFonts w:ascii="Calibri" w:hAnsi="Calibri"/>
          <w:color w:val="525866"/>
          <w:sz w:val="22"/>
        </w:rPr>
        <w:t>Arista introduced its next-generation 1.6 Terabit portfolio (7060 XC Seven Series), validating its technology roadmap and reinforcing its AI networking leadership. Shares briefly pulled back to $152 on June 9–10 amid broader market weakness before recovering.</w:t>
      </w:r>
    </w:p>
    <w:p>
      <w:pPr>
        <w:pStyle w:val="ListBullet"/>
        <w:ind w:left="360" w:hanging="360"/>
      </w:pPr>
      <w:r>
        <w:rPr>
          <w:rFonts w:ascii="Calibri" w:hAnsi="Calibri"/>
          <w:b/>
          <w:color w:val="525866"/>
          <w:sz w:val="22"/>
        </w:rPr>
        <w:t xml:space="preserve">Peak and Consolidation (July 10 – Aug 3): </w:t>
      </w:r>
      <w:r>
        <w:rPr>
          <w:rFonts w:ascii="Calibri" w:hAnsi="Calibri"/>
          <w:color w:val="525866"/>
          <w:sz w:val="22"/>
        </w:rPr>
        <w:t>ANET reached a post-earnings high of $187 on July 10, then consolidated in the $157–$181 range through late July as investors awaited Q2 results. The stock closed at $184.89 on August 4 (earnings day), up +8.6% since Q1 earnings vs. SPY +4.7%.</w:t>
      </w:r>
    </w:p>
    <w:p>
      <w:pPr>
        <w:pStyle w:val="ListBullet"/>
        <w:ind w:left="360" w:hanging="360"/>
      </w:pPr>
      <w:r>
        <w:rPr>
          <w:rFonts w:ascii="Calibri" w:hAnsi="Calibri"/>
          <w:b/>
          <w:color w:val="525866"/>
          <w:sz w:val="22"/>
        </w:rPr>
        <w:t xml:space="preserve">Valuation Context: </w:t>
      </w:r>
      <w:r>
        <w:rPr>
          <w:rFonts w:ascii="Calibri" w:hAnsi="Calibri"/>
          <w:color w:val="525866"/>
          <w:sz w:val="22"/>
        </w:rPr>
        <w:t>At ~$185, ANET trades at approximately 42x forward non-GAAP EPS — a premium to its 5-year average of ~35x and networking peers at ~32x. The premium reflects AI networking leadership and consistent execution, but leaves limited room for guidance disappointment. Analyst consensus is overwhelmingly bullish: 23 Buy / 2 Hold / 0 Sell with an average price target of ~$188–$190.</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9 launch of Arista's 1.6 Terabit AI fabric portfolio — the 7060 XC Seven Series — which validates the technology roadmap and positions Arista for the next AI infrastructure upgrade cycle. Combined with the June 25 Rack-scale AI Webinar and consistent bullish conference commentary, the news flow has been unambiguously positive for the Q2 print.</w:t>
      </w:r>
    </w:p>
    <w:p>
      <w:pPr>
        <w:pStyle w:val="ListBullet"/>
        <w:ind w:left="360" w:hanging="360"/>
      </w:pPr>
      <w:r>
        <w:rPr>
          <w:rFonts w:ascii="Calibri" w:hAnsi="Calibri"/>
          <w:b/>
          <w:color w:val="525866"/>
          <w:sz w:val="22"/>
        </w:rPr>
        <w:t xml:space="preserve">June 9, 2026 — Arista Launches 1.6 Terabit Portfolio for AI Fabrics (7060 XC Seven Series): </w:t>
      </w:r>
      <w:r>
        <w:rPr>
          <w:rFonts w:ascii="Calibri" w:hAnsi="Calibri"/>
          <w:color w:val="525866"/>
          <w:sz w:val="22"/>
        </w:rPr>
        <w:t xml:space="preserve">Arista introduced its next-generation 1.6T switching platform leveraging the Broadcom Tomahawk 6 chipset, delivering 102.4TB of total bandwidth with native 800G and 1.6T per-port options. Key innovations include Linear Pluggable Optics (LPO) reducing interconnect power by up to 60%, 100% liquid-cooled options for high-density AI racks, and new AI software features (MRC, Congestion Signaling/Sisig, Fast CNP). </w:t>
      </w:r>
      <w:r>
        <w:rPr>
          <w:rFonts w:ascii="Calibri" w:hAnsi="Calibri"/>
          <w:b/>
          <w:color w:val="525866"/>
          <w:sz w:val="22"/>
        </w:rPr>
        <w:t xml:space="preserve">Implication: </w:t>
      </w:r>
      <w:r>
        <w:rPr>
          <w:rFonts w:ascii="Calibri" w:hAnsi="Calibri"/>
          <w:color w:val="525866"/>
          <w:sz w:val="22"/>
        </w:rPr>
        <w:t>Validates Arista's 1.6T readiness ahead of the expected 2027 production ramp; positions the company to capture the next wave of AI infrastructure spend as hyperscalers transition from 800G.</w:t>
      </w:r>
    </w:p>
    <w:p>
      <w:pPr>
        <w:pStyle w:val="ListBullet"/>
        <w:ind w:left="360" w:hanging="360"/>
      </w:pPr>
      <w:r>
        <w:rPr>
          <w:rFonts w:ascii="Calibri" w:hAnsi="Calibri"/>
          <w:b/>
          <w:color w:val="525866"/>
          <w:sz w:val="22"/>
        </w:rPr>
        <w:t xml:space="preserve">June 25, 2026 — "A New Era of Rack-scale AI Fabrics" Webinar: </w:t>
      </w:r>
      <w:r>
        <w:rPr>
          <w:rFonts w:ascii="Calibri" w:hAnsi="Calibri"/>
          <w:color w:val="525866"/>
          <w:sz w:val="22"/>
        </w:rPr>
        <w:t xml:space="preserve">Arista hosted a technical webinar detailing its scale-out fabric architecture, demonstrating the ability to scale to 131,000 XPUs within two tiers using multi-planar designs. The webinar highlighted Arista's co-development of the MRC (Multipath Reliable Connection) protocol with OpenAI, AMD, Broadcom, Intel, Microsoft, and NVIDIA. </w:t>
      </w:r>
      <w:r>
        <w:rPr>
          <w:rFonts w:ascii="Calibri" w:hAnsi="Calibri"/>
          <w:b/>
          <w:color w:val="525866"/>
          <w:sz w:val="22"/>
        </w:rPr>
        <w:t xml:space="preserve">Implication: </w:t>
      </w:r>
      <w:r>
        <w:rPr>
          <w:rFonts w:ascii="Calibri" w:hAnsi="Calibri"/>
          <w:color w:val="525866"/>
          <w:sz w:val="22"/>
        </w:rPr>
        <w:t>Deepens Arista's co-engineering relationships with frontier AI labs and reinforces its open-standards positioning vs. proprietary alternatives.</w:t>
      </w:r>
    </w:p>
    <w:p>
      <w:pPr>
        <w:pStyle w:val="ListBullet"/>
        <w:ind w:left="360" w:hanging="360"/>
      </w:pPr>
      <w:r>
        <w:rPr>
          <w:rFonts w:ascii="Calibri" w:hAnsi="Calibri"/>
          <w:b/>
          <w:color w:val="525866"/>
          <w:sz w:val="22"/>
        </w:rPr>
        <w:t xml:space="preserve">May 14, 2026 — Needham Conference: CFO Highlights 54% Combined Growth: </w:t>
      </w:r>
      <w:r>
        <w:rPr>
          <w:rFonts w:ascii="Calibri" w:hAnsi="Calibri"/>
          <w:color w:val="525866"/>
          <w:sz w:val="22"/>
        </w:rPr>
        <w:t xml:space="preserve">CFO Chantelle Breithaupt disclosed that when combining P&amp;L revenue with the change in deferred revenue (representing physical shipments), Q1 growth was effectively 54% YoY — substantially above the reported 35%. She reiterated the $3.5B AI revenue target and noted the company "raised our year twice in the last 2 quarters." </w:t>
      </w:r>
      <w:r>
        <w:rPr>
          <w:rFonts w:ascii="Calibri" w:hAnsi="Calibri"/>
          <w:b/>
          <w:color w:val="525866"/>
          <w:sz w:val="22"/>
        </w:rPr>
        <w:t xml:space="preserve">Implication: </w:t>
      </w:r>
      <w:r>
        <w:rPr>
          <w:rFonts w:ascii="Calibri" w:hAnsi="Calibri"/>
          <w:color w:val="525866"/>
          <w:sz w:val="22"/>
        </w:rPr>
        <w:t>Deferred revenue build is masking the true pace of demand; any acceleration in acceptance/recognition could drive a significant revenue beat.</w:t>
      </w:r>
    </w:p>
    <w:p>
      <w:pPr>
        <w:pStyle w:val="ListBullet"/>
        <w:ind w:left="360" w:hanging="360"/>
      </w:pPr>
      <w:r>
        <w:rPr>
          <w:rFonts w:ascii="Calibri" w:hAnsi="Calibri"/>
          <w:b/>
          <w:color w:val="525866"/>
          <w:sz w:val="22"/>
        </w:rPr>
        <w:t xml:space="preserve">May 19, 2026 — JPM TMC Conference: 3-Year CAGR Raised to 20%+: </w:t>
      </w:r>
      <w:r>
        <w:rPr>
          <w:rFonts w:ascii="Calibri" w:hAnsi="Calibri"/>
          <w:color w:val="525866"/>
          <w:sz w:val="22"/>
        </w:rPr>
        <w:t xml:space="preserve">Management raised its 3-year revenue CAGR outlook to 20%+ (from mid-teens), citing that "28% growth makes mid-teens no longer make sense." Scale-across AI revenue expected to be ~$1B+ in 2026 (roughly 1/3 of AI revenue), up from "practically nonexistent last year." </w:t>
      </w:r>
      <w:r>
        <w:rPr>
          <w:rFonts w:ascii="Calibri" w:hAnsi="Calibri"/>
          <w:b/>
          <w:color w:val="525866"/>
          <w:sz w:val="22"/>
        </w:rPr>
        <w:t xml:space="preserve">Implication: </w:t>
      </w:r>
      <w:r>
        <w:rPr>
          <w:rFonts w:ascii="Calibri" w:hAnsi="Calibri"/>
          <w:color w:val="525866"/>
          <w:sz w:val="22"/>
        </w:rPr>
        <w:t>Signals management confidence in durable growth beyond the current AI buildout cycle; scale-across is an underappreciated incremental revenue driver.</w:t>
      </w:r>
    </w:p>
    <w:p>
      <w:pPr>
        <w:pStyle w:val="ListBullet"/>
        <w:ind w:left="360" w:hanging="360"/>
      </w:pPr>
      <w:r>
        <w:rPr>
          <w:rFonts w:ascii="Calibri" w:hAnsi="Calibri"/>
          <w:b/>
          <w:color w:val="525866"/>
          <w:sz w:val="22"/>
        </w:rPr>
        <w:t xml:space="preserve">June 2–3, 2026 — William Blair &amp; BofA Conferences: Supply Constraints Manageable: </w:t>
      </w:r>
      <w:r>
        <w:rPr>
          <w:rFonts w:ascii="Calibri" w:hAnsi="Calibri"/>
          <w:color w:val="525866"/>
          <w:sz w:val="22"/>
        </w:rPr>
        <w:t xml:space="preserve">CFO reiterated "no constraint in the sense of us reaching our FY '26 guidance" and described supply as "more about when, not if." CEO Jayshree Ullal characterized the supply situation as a "2-year industry problem" but noted Arista will "do everything to solve these problems in quarters, not in years." Campus lead times reduced to 6 weeks. </w:t>
      </w:r>
      <w:r>
        <w:rPr>
          <w:rFonts w:ascii="Calibri" w:hAnsi="Calibri"/>
          <w:b/>
          <w:color w:val="525866"/>
          <w:sz w:val="22"/>
        </w:rPr>
        <w:t xml:space="preserve">Implication: </w:t>
      </w:r>
      <w:r>
        <w:rPr>
          <w:rFonts w:ascii="Calibri" w:hAnsi="Calibri"/>
          <w:color w:val="525866"/>
          <w:sz w:val="22"/>
        </w:rPr>
        <w:t>Removes the bear case that supply constraints could cause a FY2026 guidance cut; campus lead time improvement is a competitive advantage in enterprise market share capture.</w:t>
      </w:r>
    </w:p>
    <w:p>
      <w:pPr>
        <w:pStyle w:val="ListBullet"/>
        <w:ind w:left="360" w:hanging="360"/>
      </w:pPr>
      <w:r>
        <w:rPr>
          <w:rFonts w:ascii="Calibri" w:hAnsi="Calibri"/>
          <w:b/>
          <w:color w:val="525866"/>
          <w:sz w:val="22"/>
        </w:rPr>
        <w:t xml:space="preserve">May 5, 2026 — Q1 2026 Earnings: Record Operating Cash Flow, Deferred Revenue Surges: </w:t>
      </w:r>
      <w:r>
        <w:rPr>
          <w:rFonts w:ascii="Calibri" w:hAnsi="Calibri"/>
          <w:color w:val="525866"/>
          <w:sz w:val="22"/>
        </w:rPr>
        <w:t xml:space="preserve">Q1 operating cash flow of $1.69B was the strongest in company history. Total deferred revenue reached $6.2B (up from $5.37B in Q4, up ~100% YoY), with the majority attributed to AI use cases. Purchase commitments rose to $8.9B (from $6.8B in Q4). </w:t>
      </w:r>
      <w:r>
        <w:rPr>
          <w:rFonts w:ascii="Calibri" w:hAnsi="Calibri"/>
          <w:b/>
          <w:color w:val="525866"/>
          <w:sz w:val="22"/>
        </w:rPr>
        <w:t xml:space="preserve">Implication: </w:t>
      </w:r>
      <w:r>
        <w:rPr>
          <w:rFonts w:ascii="Calibri" w:hAnsi="Calibri"/>
          <w:color w:val="525866"/>
          <w:sz w:val="22"/>
        </w:rPr>
        <w:t>The deferred revenue trajectory is the key forward indicator — a flattening or decline would signal AI product acceptance is accelerating, which would be a significant positive catalyst.</w:t>
      </w:r>
    </w:p>
    <w:p>
      <w:pPr>
        <w:pStyle w:val="ListBullet"/>
        <w:ind w:left="360" w:hanging="360"/>
      </w:pPr>
      <w:r>
        <w:rPr>
          <w:rFonts w:ascii="Calibri" w:hAnsi="Calibri"/>
          <w:b/>
          <w:color w:val="525866"/>
          <w:sz w:val="22"/>
        </w:rPr>
        <w:t xml:space="preserve">Analyst Rating Changes (Post-Q1): </w:t>
      </w:r>
      <w:r>
        <w:rPr>
          <w:rFonts w:ascii="Calibri" w:hAnsi="Calibri"/>
          <w:color w:val="525866"/>
          <w:sz w:val="22"/>
        </w:rPr>
        <w:t xml:space="preserve">KeyBanc raised PT to $200 (June 18); Morgan Stanley raised PT to $190 (June 12); Deutsche Bank upgraded to Buy (June 10); Bank of America raised PT to $200 (June 8); Raymond James upgraded to Outperform (May 15). Consensus is 23 Buy / 2 Hold / 0 Sell with average PT ~$188–$190. </w:t>
      </w:r>
      <w:r>
        <w:rPr>
          <w:rFonts w:ascii="Calibri" w:hAnsi="Calibri"/>
          <w:b/>
          <w:color w:val="525866"/>
          <w:sz w:val="22"/>
        </w:rPr>
        <w:t xml:space="preserve">Implication: </w:t>
      </w:r>
      <w:r>
        <w:rPr>
          <w:rFonts w:ascii="Calibri" w:hAnsi="Calibri"/>
          <w:color w:val="525866"/>
          <w:sz w:val="22"/>
        </w:rPr>
        <w:t>Broad analyst community is constructive; upgrades and PT raises post-Q1 selloff reflect conviction that the demand story is intact.</w:t>
      </w:r>
    </w:p>
    <w:p>
      <w:pPr>
        <w:pStyle w:val="ListBullet"/>
        <w:ind w:left="360" w:hanging="360"/>
      </w:pPr>
      <w:r>
        <w:rPr>
          <w:rFonts w:ascii="Calibri" w:hAnsi="Calibri"/>
          <w:b/>
          <w:color w:val="525866"/>
          <w:sz w:val="22"/>
        </w:rPr>
        <w:t xml:space="preserve">Gartner Magic Quadrant — Enterprise Wired &amp; Wireless LAN Leader (2026): </w:t>
      </w:r>
      <w:r>
        <w:rPr>
          <w:rFonts w:ascii="Calibri" w:hAnsi="Calibri"/>
          <w:color w:val="525866"/>
          <w:sz w:val="22"/>
        </w:rPr>
        <w:t xml:space="preserve">Arista was named a Leader in the 2026 Gartner Magic Quadrant for Enterprise Wired and Wireless LAN — the youngest entrant in the leader quadrant, having entered the market only ~5 years ago. </w:t>
      </w:r>
      <w:r>
        <w:rPr>
          <w:rFonts w:ascii="Calibri" w:hAnsi="Calibri"/>
          <w:b/>
          <w:color w:val="525866"/>
          <w:sz w:val="22"/>
        </w:rPr>
        <w:t xml:space="preserve">Implication: </w:t>
      </w:r>
      <w:r>
        <w:rPr>
          <w:rFonts w:ascii="Calibri" w:hAnsi="Calibri"/>
          <w:color w:val="525866"/>
          <w:sz w:val="22"/>
        </w:rPr>
        <w:t>Opens enterprise campus RFPs that previously excluded Arista; management cited this as having "already opened so many doors."</w:t>
      </w:r>
    </w:p>
    <w:p>
      <w:r>
        <w:br w:type="page"/>
      </w:r>
    </w:p>
    <w:p>
      <w:pPr>
        <w:pStyle w:val="Heading2"/>
      </w:pPr>
      <w:r>
        <w:rPr>
          <w:rFonts w:ascii="Calibri" w:hAnsi="Calibri"/>
          <w:b/>
          <w:color w:val="3B4259"/>
          <w:sz w:val="28"/>
        </w:rPr>
        <w:t>7. Peer Commentaries — Read-Through for ANET Q2 2026</w:t>
      </w:r>
    </w:p>
    <w:p>
      <w:r>
        <w:rPr>
          <w:rFonts w:ascii="Calibri" w:hAnsi="Calibri"/>
          <w:b/>
          <w:color w:val="525866"/>
          <w:sz w:val="22"/>
        </w:rPr>
        <w:t xml:space="preserve">Key Takeaway: </w:t>
      </w:r>
      <w:r>
        <w:rPr>
          <w:rFonts w:ascii="Calibri" w:hAnsi="Calibri"/>
          <w:color w:val="525866"/>
          <w:sz w:val="22"/>
        </w:rPr>
        <w:t>Peer commentary from the last 60 days is overwhelmingly positive for Arista's Q2 read-through — hyperscaler CapEx is accelerating (Google raised FY2026 CapEx guidance to $195–$205B; Amazon raised to $220B; Meta narrowed to $130–$145B; Microsoft added a gigawatt of capacity in Q2), NVIDIA's data center networking revenue nearly tripled YoY, and Cisco reported triple-digit AI infrastructure order growth from hyperscalers. The one competitive watch item is NVIDIA's claim that Spectrum-X Ethernet is now "larger than all Ethernet network peers combined" — a direct competitive statement in Arista's core market.</w:t>
      </w:r>
    </w:p>
    <w:p>
      <w:r>
        <w:rPr>
          <w:rFonts w:ascii="Calibri" w:hAnsi="Calibri"/>
          <w:b/>
          <w:color w:val="525866"/>
          <w:sz w:val="22"/>
        </w:rPr>
        <w:t xml:space="preserve">Note: </w:t>
      </w:r>
      <w:r>
        <w:rPr>
          <w:rFonts w:ascii="Calibri" w:hAnsi="Calibri"/>
          <w:i/>
          <w:color w:val="525866"/>
          <w:sz w:val="22"/>
        </w:rPr>
        <w:t>Only commentary from peers reporting on or discussing the current period (Q2 2026 / calendar Q2 2026) is included below. Prior-quarter earnings calls discussing prior-quarter results are excluded.</w:t>
      </w:r>
    </w:p>
    <w:p>
      <w:pPr>
        <w:pStyle w:val="Heading3"/>
      </w:pPr>
      <w:r>
        <w:rPr>
          <w:rFonts w:ascii="Calibri" w:hAnsi="Calibri"/>
          <w:b/>
          <w:color w:val="3B4259"/>
          <w:sz w:val="24"/>
        </w:rPr>
        <w:t>NVIDIA (NVDA) — Q1 FY2027 Earnings Call (May 20, 2026, reporting calendar Q1 2026)</w:t>
      </w:r>
    </w:p>
    <w:p>
      <w:pPr>
        <w:pStyle w:val="ListBullet"/>
        <w:ind w:left="360" w:hanging="360"/>
      </w:pPr>
      <w:r>
        <w:rPr>
          <w:rFonts w:ascii="Calibri" w:hAnsi="Calibri"/>
          <w:b/>
          <w:color w:val="525866"/>
          <w:sz w:val="22"/>
        </w:rPr>
        <w:t xml:space="preserve">AI Networking Revenue Nearly Tripled YoY: </w:t>
      </w:r>
      <w:r>
        <w:rPr>
          <w:rFonts w:ascii="Calibri" w:hAnsi="Calibri"/>
          <w:color w:val="525866"/>
          <w:sz w:val="22"/>
        </w:rPr>
        <w:t>NVIDIA reported data center networking revenue of $15B in Q1 FY2027 (calendar Q1 2026), nearly tripling year-over-year. This is the most direct read-through for Arista — the scale of AI networking spend is accelerating dramatically, validating Arista's $3.5B AI revenue target for 2026.</w:t>
      </w:r>
    </w:p>
    <w:p>
      <w:pPr>
        <w:pStyle w:val="ListBullet"/>
        <w:ind w:left="360" w:hanging="360"/>
      </w:pPr>
      <w:r>
        <w:rPr>
          <w:rFonts w:ascii="Calibri" w:hAnsi="Calibri"/>
          <w:b/>
          <w:color w:val="525866"/>
          <w:sz w:val="22"/>
        </w:rPr>
        <w:t xml:space="preserve">Spectrum-X Competitive Claim — Key Watch Item: </w:t>
      </w:r>
      <w:r>
        <w:rPr>
          <w:rFonts w:ascii="Calibri" w:hAnsi="Calibri"/>
          <w:color w:val="525866"/>
          <w:sz w:val="22"/>
        </w:rPr>
        <w:t>Jensen Huang stated that "Spectrum-X, our end-to-end Ethernet platform purpose-built for AI, is now larger than all Ethernet network peers combined." This is a direct competitive statement in Arista's core market. However, Arista's management has consistently noted that its market share is higher in non-NVIDIA GPU deployments (AMD, custom accelerators, TPUs) where there is no vertical bundling, and that diversification of AI accelerators is a structural tailwind for Arista.</w:t>
      </w:r>
    </w:p>
    <w:p>
      <w:pPr>
        <w:pStyle w:val="ListBullet"/>
        <w:ind w:left="360" w:hanging="360"/>
      </w:pPr>
      <w:r>
        <w:rPr>
          <w:rFonts w:ascii="Calibri" w:hAnsi="Calibri"/>
          <w:b/>
          <w:color w:val="525866"/>
          <w:sz w:val="22"/>
        </w:rPr>
        <w:t xml:space="preserve">Hyperscale CapEx Trajectory: </w:t>
      </w:r>
      <w:r>
        <w:rPr>
          <w:rFonts w:ascii="Calibri" w:hAnsi="Calibri"/>
          <w:color w:val="525866"/>
          <w:sz w:val="22"/>
        </w:rPr>
        <w:t xml:space="preserve">NVIDIA cited analysts forecasting hyperscale CapEx to exceed $1 trillion in 2027, with AI infrastructure spending projected to reach $3–$4 trillion annually by end of decade. AWS confirmed it will add over 1 million Blackwell and Rubin GPUs starting this year. </w:t>
      </w:r>
      <w:r>
        <w:rPr>
          <w:rFonts w:ascii="Calibri" w:hAnsi="Calibri"/>
          <w:b/>
          <w:color w:val="525866"/>
          <w:sz w:val="22"/>
        </w:rPr>
        <w:t xml:space="preserve">Read-through: </w:t>
      </w:r>
      <w:r>
        <w:rPr>
          <w:rFonts w:ascii="Calibri" w:hAnsi="Calibri"/>
          <w:color w:val="525866"/>
          <w:sz w:val="22"/>
        </w:rPr>
        <w:t>Sustained multi-year hyperscale CapEx growth is the primary demand driver for Arista's AI fabric business.</w:t>
      </w:r>
    </w:p>
    <w:p>
      <w:pPr>
        <w:pStyle w:val="ListBullet"/>
        <w:ind w:left="360" w:hanging="360"/>
      </w:pPr>
      <w:r>
        <w:rPr>
          <w:rFonts w:ascii="Calibri" w:hAnsi="Calibri"/>
          <w:b/>
          <w:color w:val="525866"/>
          <w:sz w:val="22"/>
        </w:rPr>
        <w:t xml:space="preserve">Q2 FY2027 Outlook (Calendar Q2 2026): </w:t>
      </w:r>
      <w:r>
        <w:rPr>
          <w:rFonts w:ascii="Calibri" w:hAnsi="Calibri"/>
          <w:color w:val="525866"/>
          <w:sz w:val="22"/>
        </w:rPr>
        <w:t>NVIDIA guided Q2 FY2027 revenue to $91B (+/-2%), with sequential growth driven primarily by Data Center. This implies continued strong demand for AI infrastructure components including networking in the quarter Arista is now reporting.</w:t>
      </w:r>
    </w:p>
    <w:p>
      <w:pPr>
        <w:pStyle w:val="Heading3"/>
      </w:pPr>
      <w:r>
        <w:rPr>
          <w:rFonts w:ascii="Calibri" w:hAnsi="Calibri"/>
          <w:b/>
          <w:color w:val="3B4259"/>
          <w:sz w:val="24"/>
        </w:rPr>
        <w:t>Cisco (CSCO) — Q3 FY2026 Earnings Call (May 13, 2026, reporting calendar Q1 2026)</w:t>
      </w:r>
    </w:p>
    <w:p>
      <w:pPr>
        <w:pStyle w:val="ListBullet"/>
        <w:ind w:left="360" w:hanging="360"/>
      </w:pPr>
      <w:r>
        <w:rPr>
          <w:rFonts w:ascii="Calibri" w:hAnsi="Calibri"/>
          <w:b/>
          <w:color w:val="525866"/>
          <w:sz w:val="22"/>
        </w:rPr>
        <w:t xml:space="preserve">AI Infrastructure Orders Surging — $1.9B in Q3 from Hyperscalers: </w:t>
      </w:r>
      <w:r>
        <w:rPr>
          <w:rFonts w:ascii="Calibri" w:hAnsi="Calibri"/>
          <w:color w:val="525866"/>
          <w:sz w:val="22"/>
        </w:rPr>
        <w:t xml:space="preserve">Cisco reported $1.9B in AI infrastructure orders from hyperscalers in Q3 FY2026 (calendar Q1 2026), up from $600M in the prior year. Year-to-date orders of $5.3B already exceeded Cisco's prior full-year expectation of $5B. Cisco now expects ~$9B in AI infrastructure orders from hyperscalers in FY2026 (4.5x FY2025). </w:t>
      </w:r>
      <w:r>
        <w:rPr>
          <w:rFonts w:ascii="Calibri" w:hAnsi="Calibri"/>
          <w:b/>
          <w:color w:val="525866"/>
          <w:sz w:val="22"/>
        </w:rPr>
        <w:t xml:space="preserve">Read-through: </w:t>
      </w:r>
      <w:r>
        <w:rPr>
          <w:rFonts w:ascii="Calibri" w:hAnsi="Calibri"/>
          <w:color w:val="525866"/>
          <w:sz w:val="22"/>
        </w:rPr>
        <w:t>Confirms the AI networking spend environment is materially stronger than expected — a direct positive for Arista's Q2 AI revenue.</w:t>
      </w:r>
    </w:p>
    <w:p>
      <w:pPr>
        <w:pStyle w:val="ListBullet"/>
        <w:ind w:left="360" w:hanging="360"/>
      </w:pPr>
      <w:r>
        <w:rPr>
          <w:rFonts w:ascii="Calibri" w:hAnsi="Calibri"/>
          <w:b/>
          <w:color w:val="525866"/>
          <w:sz w:val="22"/>
        </w:rPr>
        <w:t xml:space="preserve">Networking Product Orders Up 50%+ in Q3: </w:t>
      </w:r>
      <w:r>
        <w:rPr>
          <w:rFonts w:ascii="Calibri" w:hAnsi="Calibri"/>
          <w:color w:val="525866"/>
          <w:sz w:val="22"/>
        </w:rPr>
        <w:t xml:space="preserve">Cisco's networking product orders accelerated to 50%+ growth in Q3, driven by triple-digit growth in service provider routing and compute, and double-digit growth in data center switching, campus switching, and wireless. This is the seventh consecutive quarter of double-digit networking growth. </w:t>
      </w:r>
      <w:r>
        <w:rPr>
          <w:rFonts w:ascii="Calibri" w:hAnsi="Calibri"/>
          <w:b/>
          <w:color w:val="525866"/>
          <w:sz w:val="22"/>
        </w:rPr>
        <w:t xml:space="preserve">Read-through: </w:t>
      </w:r>
      <w:r>
        <w:rPr>
          <w:rFonts w:ascii="Calibri" w:hAnsi="Calibri"/>
          <w:color w:val="525866"/>
          <w:sz w:val="22"/>
        </w:rPr>
        <w:t>Broad-based networking demand acceleration is a positive read-through for Arista's enterprise and cloud titan segments.</w:t>
      </w:r>
    </w:p>
    <w:p>
      <w:pPr>
        <w:pStyle w:val="ListBullet"/>
        <w:ind w:left="360" w:hanging="360"/>
      </w:pPr>
      <w:r>
        <w:rPr>
          <w:rFonts w:ascii="Calibri" w:hAnsi="Calibri"/>
          <w:b/>
          <w:color w:val="525866"/>
          <w:sz w:val="22"/>
        </w:rPr>
        <w:t xml:space="preserve">Campus Orders at Record High: </w:t>
      </w:r>
      <w:r>
        <w:rPr>
          <w:rFonts w:ascii="Calibri" w:hAnsi="Calibri"/>
          <w:color w:val="525866"/>
          <w:sz w:val="22"/>
        </w:rPr>
        <w:t xml:space="preserve">Cisco reported record campus networking orders in Q3, growing 25%+ YoY, with WiFi 7 constituting half of wireless mix. Cisco cited a "multiyear, multibillion-dollar campus refresh opportunity" driven by AI. </w:t>
      </w:r>
      <w:r>
        <w:rPr>
          <w:rFonts w:ascii="Calibri" w:hAnsi="Calibri"/>
          <w:b/>
          <w:color w:val="525866"/>
          <w:sz w:val="22"/>
        </w:rPr>
        <w:t xml:space="preserve">Read-through: </w:t>
      </w:r>
      <w:r>
        <w:rPr>
          <w:rFonts w:ascii="Calibri" w:hAnsi="Calibri"/>
          <w:color w:val="525866"/>
          <w:sz w:val="22"/>
        </w:rPr>
        <w:t>Validates Arista's campus growth thesis; the refresh cycle is real and broad-based, supporting Arista's $1.25B campus target.</w:t>
      </w:r>
    </w:p>
    <w:p>
      <w:pPr>
        <w:pStyle w:val="ListBullet"/>
        <w:ind w:left="360" w:hanging="360"/>
      </w:pPr>
      <w:r>
        <w:rPr>
          <w:rFonts w:ascii="Calibri" w:hAnsi="Calibri"/>
          <w:b/>
          <w:color w:val="525866"/>
          <w:sz w:val="22"/>
        </w:rPr>
        <w:t xml:space="preserve">Supply Chain: No Decommits, Purchase Commitments Up $6.7B in 90 Days: </w:t>
      </w:r>
      <w:r>
        <w:rPr>
          <w:rFonts w:ascii="Calibri" w:hAnsi="Calibri"/>
          <w:color w:val="525866"/>
          <w:sz w:val="22"/>
        </w:rPr>
        <w:t xml:space="preserve">Cisco reported no supply decommits in Q3 and increased purchase commitments by $6.7B (48%) in the last 90 days. Cisco has secured silicon supply through calendar year 2026. </w:t>
      </w:r>
      <w:r>
        <w:rPr>
          <w:rFonts w:ascii="Calibri" w:hAnsi="Calibri"/>
          <w:b/>
          <w:color w:val="525866"/>
          <w:sz w:val="22"/>
        </w:rPr>
        <w:t xml:space="preserve">Read-through: </w:t>
      </w:r>
      <w:r>
        <w:rPr>
          <w:rFonts w:ascii="Calibri" w:hAnsi="Calibri"/>
          <w:color w:val="525866"/>
          <w:sz w:val="22"/>
        </w:rPr>
        <w:t>Cisco's ability to secure supply without decommits is a mild positive read-through — suggests the supply environment may be slightly better than feared, though Arista's product mix (more AI-specific silicon) may face different constraints.</w:t>
      </w:r>
    </w:p>
    <w:p>
      <w:pPr>
        <w:pStyle w:val="ListBullet"/>
        <w:ind w:left="360" w:hanging="360"/>
      </w:pPr>
      <w:r>
        <w:rPr>
          <w:rFonts w:ascii="Calibri" w:hAnsi="Calibri"/>
          <w:b/>
          <w:color w:val="525866"/>
          <w:sz w:val="22"/>
        </w:rPr>
        <w:t xml:space="preserve">FY2027 AI Revenue Visibility: </w:t>
      </w:r>
      <w:r>
        <w:rPr>
          <w:rFonts w:ascii="Calibri" w:hAnsi="Calibri"/>
          <w:color w:val="525866"/>
          <w:sz w:val="22"/>
        </w:rPr>
        <w:t xml:space="preserve">Cisco expects to recognize at least $6B of revenue from the AI hyperscale business in FY2027, with scale-across wins expected to begin contributing in Q4 FY2026 and at scale in FY2027. </w:t>
      </w:r>
      <w:r>
        <w:rPr>
          <w:rFonts w:ascii="Calibri" w:hAnsi="Calibri"/>
          <w:b/>
          <w:color w:val="525866"/>
          <w:sz w:val="22"/>
        </w:rPr>
        <w:t xml:space="preserve">Read-through: </w:t>
      </w:r>
      <w:r>
        <w:rPr>
          <w:rFonts w:ascii="Calibri" w:hAnsi="Calibri"/>
          <w:color w:val="525866"/>
          <w:sz w:val="22"/>
        </w:rPr>
        <w:t>Scale-across is emerging as a major revenue category — consistent with Arista's own commentary that scale-across will be ~1/3 of its AI revenue in 2026.</w:t>
      </w:r>
    </w:p>
    <w:p>
      <w:pPr>
        <w:pStyle w:val="Heading3"/>
      </w:pPr>
      <w:r>
        <w:rPr>
          <w:rFonts w:ascii="Calibri" w:hAnsi="Calibri"/>
          <w:b/>
          <w:color w:val="3B4259"/>
          <w:sz w:val="24"/>
        </w:rPr>
        <w:t>Hewlett Packard Enterprise (HPE) — Q2 FY2026 Earnings Call (June 1, 2026, reporting calendar Q1 2026)</w:t>
      </w:r>
    </w:p>
    <w:p>
      <w:pPr>
        <w:pStyle w:val="ListBullet"/>
        <w:ind w:left="360" w:hanging="360"/>
      </w:pPr>
      <w:r>
        <w:rPr>
          <w:rFonts w:ascii="Calibri" w:hAnsi="Calibri"/>
          <w:b/>
          <w:color w:val="525866"/>
          <w:sz w:val="22"/>
        </w:rPr>
        <w:t xml:space="preserve">Networking Revenue $2.7B, Orders Growing Faster Than Revenue: </w:t>
      </w:r>
      <w:r>
        <w:rPr>
          <w:rFonts w:ascii="Calibri" w:hAnsi="Calibri"/>
          <w:color w:val="525866"/>
          <w:sz w:val="22"/>
        </w:rPr>
        <w:t xml:space="preserve">HPE's Networking segment delivered $2.7B in revenue with double-digit normalized growth, and orders growing significantly faster than revenue. Campus &amp; Branch orders reached a record high, growing in the upper 20% range. Enterprise data center switching orders increased nearly 20% on a normalized basis. </w:t>
      </w:r>
      <w:r>
        <w:rPr>
          <w:rFonts w:ascii="Calibri" w:hAnsi="Calibri"/>
          <w:b/>
          <w:color w:val="525866"/>
          <w:sz w:val="22"/>
        </w:rPr>
        <w:t xml:space="preserve">Read-through: </w:t>
      </w:r>
      <w:r>
        <w:rPr>
          <w:rFonts w:ascii="Calibri" w:hAnsi="Calibri"/>
          <w:color w:val="525866"/>
          <w:sz w:val="22"/>
        </w:rPr>
        <w:t>Broad-based networking demand strength across campus and data center is a positive read-through for Arista's Q2 results.</w:t>
      </w:r>
    </w:p>
    <w:p>
      <w:pPr>
        <w:pStyle w:val="ListBullet"/>
        <w:ind w:left="360" w:hanging="360"/>
      </w:pPr>
      <w:r>
        <w:rPr>
          <w:rFonts w:ascii="Calibri" w:hAnsi="Calibri"/>
          <w:b/>
          <w:color w:val="525866"/>
          <w:sz w:val="22"/>
        </w:rPr>
        <w:t xml:space="preserve">Networks for AI Order Target Raised to $2B+: </w:t>
      </w:r>
      <w:r>
        <w:rPr>
          <w:rFonts w:ascii="Calibri" w:hAnsi="Calibri"/>
          <w:color w:val="525866"/>
          <w:sz w:val="22"/>
        </w:rPr>
        <w:t xml:space="preserve">HPE raised its cumulative FY2026 networks-for-AI order target to "at least $2 billion," citing innovation and market momentum. HPE is the first OEM to productize a Tomahawk 6-based 100% liquid-cooled switch. </w:t>
      </w:r>
      <w:r>
        <w:rPr>
          <w:rFonts w:ascii="Calibri" w:hAnsi="Calibri"/>
          <w:b/>
          <w:color w:val="525866"/>
          <w:sz w:val="22"/>
        </w:rPr>
        <w:t xml:space="preserve">Read-through: </w:t>
      </w:r>
      <w:r>
        <w:rPr>
          <w:rFonts w:ascii="Calibri" w:hAnsi="Calibri"/>
          <w:color w:val="525866"/>
          <w:sz w:val="22"/>
        </w:rPr>
        <w:t>Confirms the AI networking TAM is expanding; HPE's Tomahawk 6 adoption validates the same chipset Arista is using in its 7060 XC Seven Series.</w:t>
      </w:r>
    </w:p>
    <w:p>
      <w:pPr>
        <w:pStyle w:val="ListBullet"/>
        <w:ind w:left="360" w:hanging="360"/>
      </w:pPr>
      <w:r>
        <w:rPr>
          <w:rFonts w:ascii="Calibri" w:hAnsi="Calibri"/>
          <w:b/>
          <w:color w:val="525866"/>
          <w:sz w:val="22"/>
        </w:rPr>
        <w:t xml:space="preserve">Supply Constraints: Purchase Commitments Up 40%+ Sequentially: </w:t>
      </w:r>
      <w:r>
        <w:rPr>
          <w:rFonts w:ascii="Calibri" w:hAnsi="Calibri"/>
          <w:color w:val="525866"/>
          <w:sz w:val="22"/>
        </w:rPr>
        <w:t xml:space="preserve">HPE's Networking backlog continues to grow due to elevated demand and supply constraints, with purchase commitments growing 40%+ sequentially. The primary gating factor for converting orders to revenue is component availability (DDR4, DDR5, wafer-constrained items). </w:t>
      </w:r>
      <w:r>
        <w:rPr>
          <w:rFonts w:ascii="Calibri" w:hAnsi="Calibri"/>
          <w:b/>
          <w:color w:val="525866"/>
          <w:sz w:val="22"/>
        </w:rPr>
        <w:t xml:space="preserve">Read-through: </w:t>
      </w:r>
      <w:r>
        <w:rPr>
          <w:rFonts w:ascii="Calibri" w:hAnsi="Calibri"/>
          <w:color w:val="525866"/>
          <w:sz w:val="22"/>
        </w:rPr>
        <w:t>Confirms the supply-constrained environment Arista has described; backlog growth at HPE suggests demand is real and durable.</w:t>
      </w:r>
    </w:p>
    <w:p>
      <w:pPr>
        <w:pStyle w:val="ListBullet"/>
        <w:ind w:left="360" w:hanging="360"/>
      </w:pPr>
      <w:r>
        <w:rPr>
          <w:rFonts w:ascii="Calibri" w:hAnsi="Calibri"/>
          <w:b/>
          <w:color w:val="525866"/>
          <w:sz w:val="22"/>
        </w:rPr>
        <w:t xml:space="preserve">WiFi 7 Demand Surging — 7x YoY: </w:t>
      </w:r>
      <w:r>
        <w:rPr>
          <w:rFonts w:ascii="Calibri" w:hAnsi="Calibri"/>
          <w:color w:val="525866"/>
          <w:sz w:val="22"/>
        </w:rPr>
        <w:t xml:space="preserve">HPE reported WiFi 7 access point sales increased more than 7x YoY, indicating a clear shift toward network modernization in the campus. </w:t>
      </w:r>
      <w:r>
        <w:rPr>
          <w:rFonts w:ascii="Calibri" w:hAnsi="Calibri"/>
          <w:b/>
          <w:color w:val="525866"/>
          <w:sz w:val="22"/>
        </w:rPr>
        <w:t xml:space="preserve">Read-through: </w:t>
      </w:r>
      <w:r>
        <w:rPr>
          <w:rFonts w:ascii="Calibri" w:hAnsi="Calibri"/>
          <w:color w:val="525866"/>
          <w:sz w:val="22"/>
        </w:rPr>
        <w:t>Validates the campus refresh cycle thesis that underpins Arista's $1.25B campus revenue target.</w:t>
      </w:r>
    </w:p>
    <w:p>
      <w:pPr>
        <w:pStyle w:val="Heading3"/>
      </w:pPr>
      <w:r>
        <w:rPr>
          <w:rFonts w:ascii="Calibri" w:hAnsi="Calibri"/>
          <w:b/>
          <w:color w:val="3B4259"/>
          <w:sz w:val="24"/>
        </w:rPr>
        <w:t>Hyperscaler CapEx Read-Throughs — Q2 2026 Earnings (Reporting Calendar Q2 2026)</w:t>
      </w:r>
    </w:p>
    <w:p>
      <w:r>
        <w:rPr>
          <w:rFonts w:ascii="Calibri" w:hAnsi="Calibri"/>
          <w:color w:val="525866"/>
          <w:sz w:val="22"/>
        </w:rPr>
        <w:t>The following hyperscalers reported Q2 2026 (calendar) results in late July 2026, providing the most current read-through for Arista's Q2 demand environment:</w:t>
      </w:r>
    </w:p>
    <w:p>
      <w:pPr>
        <w:pStyle w:val="Heading4"/>
      </w:pPr>
      <w:r>
        <w:rPr>
          <w:rFonts w:ascii="Calibri" w:hAnsi="Calibri"/>
          <w:b/>
          <w:color w:val="3B4259"/>
          <w:sz w:val="22"/>
        </w:rPr>
        <w:t>Alphabet / Google (GOOGL) — Q2 2026 Earnings (July 22, 2026)</w:t>
      </w:r>
    </w:p>
    <w:p>
      <w:pPr>
        <w:pStyle w:val="ListBullet"/>
        <w:ind w:left="360" w:hanging="360"/>
      </w:pPr>
      <w:r>
        <w:rPr>
          <w:rFonts w:ascii="Calibri" w:hAnsi="Calibri"/>
          <w:b/>
          <w:color w:val="525866"/>
          <w:sz w:val="22"/>
        </w:rPr>
        <w:t xml:space="preserve">CapEx Raised to $195–$205B for FY2026 (from $180–$190B): </w:t>
      </w:r>
      <w:r>
        <w:rPr>
          <w:rFonts w:ascii="Calibri" w:hAnsi="Calibri"/>
          <w:color w:val="525866"/>
          <w:sz w:val="22"/>
        </w:rPr>
        <w:t xml:space="preserve">Google raised its full-year 2026 CapEx guidance by ~$15B, citing "an acceleration in the delivery of capacity to meet growing demand." Q2 CapEx was $44.9B, with ~40% allocated to data centers and networking equipment. Cloud revenue grew 82% YoY, powered by strong demand for AI infrastructure. </w:t>
      </w:r>
      <w:r>
        <w:rPr>
          <w:rFonts w:ascii="Calibri" w:hAnsi="Calibri"/>
          <w:b/>
          <w:color w:val="525866"/>
          <w:sz w:val="22"/>
        </w:rPr>
        <w:t xml:space="preserve">Read-through: </w:t>
      </w:r>
      <w:r>
        <w:rPr>
          <w:rFonts w:ascii="Calibri" w:hAnsi="Calibri"/>
          <w:color w:val="525866"/>
          <w:sz w:val="22"/>
        </w:rPr>
        <w:t>A $15B CapEx raise mid-year is a strong signal of accelerating AI infrastructure demand; the 40% allocation to data centers and networking equipment directly benefits Arista.</w:t>
      </w:r>
    </w:p>
    <w:p>
      <w:pPr>
        <w:pStyle w:val="ListBullet"/>
        <w:ind w:left="360" w:hanging="360"/>
      </w:pPr>
      <w:r>
        <w:rPr>
          <w:rFonts w:ascii="Calibri" w:hAnsi="Calibri"/>
          <w:b/>
          <w:color w:val="525866"/>
          <w:sz w:val="22"/>
        </w:rPr>
        <w:t xml:space="preserve">Virgo Network — Connecting 1 Million AI Accelerators: </w:t>
      </w:r>
      <w:r>
        <w:rPr>
          <w:rFonts w:ascii="Calibri" w:hAnsi="Calibri"/>
          <w:color w:val="525866"/>
          <w:sz w:val="22"/>
        </w:rPr>
        <w:t xml:space="preserve">Google highlighted its Virgo network, designed to connect a million AI accelerators across multiple data center sites into a unified supercomputer. Management described this as a "flat two-layer high-radix Ethernet scale-out accelerator fabric" — an architecture Arista's management has explicitly cited as a strong fit for Arista's heritage and product roadmap. </w:t>
      </w:r>
      <w:r>
        <w:rPr>
          <w:rFonts w:ascii="Calibri" w:hAnsi="Calibri"/>
          <w:b/>
          <w:color w:val="525866"/>
          <w:sz w:val="22"/>
        </w:rPr>
        <w:t xml:space="preserve">Read-through: </w:t>
      </w:r>
      <w:r>
        <w:rPr>
          <w:rFonts w:ascii="Calibri" w:hAnsi="Calibri"/>
          <w:color w:val="525866"/>
          <w:sz w:val="22"/>
        </w:rPr>
        <w:t>Google's Virgo architecture is a direct use case for Arista's scale-out and scale-across AI fabric products.</w:t>
      </w:r>
    </w:p>
    <w:p>
      <w:pPr>
        <w:pStyle w:val="ListBullet"/>
        <w:ind w:left="360" w:hanging="360"/>
      </w:pPr>
      <w:r>
        <w:rPr>
          <w:rFonts w:ascii="Calibri" w:hAnsi="Calibri"/>
          <w:b/>
          <w:color w:val="525866"/>
          <w:sz w:val="22"/>
        </w:rPr>
        <w:t xml:space="preserve">Supply Constrained; Expanding Third-Party Capacity: </w:t>
      </w:r>
      <w:r>
        <w:rPr>
          <w:rFonts w:ascii="Calibri" w:hAnsi="Calibri"/>
          <w:color w:val="525866"/>
          <w:sz w:val="22"/>
        </w:rPr>
        <w:t xml:space="preserve">Google acknowledged operating in a "supply constrained environment" and plans to expand use of third-party capacity in Q3 as a bridging strategy. Demand continues to outpace investment despite significantly increasing capacity over the past three years. </w:t>
      </w:r>
      <w:r>
        <w:rPr>
          <w:rFonts w:ascii="Calibri" w:hAnsi="Calibri"/>
          <w:b/>
          <w:color w:val="525866"/>
          <w:sz w:val="22"/>
        </w:rPr>
        <w:t xml:space="preserve">Read-through: </w:t>
      </w:r>
      <w:r>
        <w:rPr>
          <w:rFonts w:ascii="Calibri" w:hAnsi="Calibri"/>
          <w:color w:val="525866"/>
          <w:sz w:val="22"/>
        </w:rPr>
        <w:t>Confirms the demand-supply imbalance Arista has described; Google's capacity expansion plans support multi-year networking demand.</w:t>
      </w:r>
    </w:p>
    <w:p>
      <w:pPr>
        <w:pStyle w:val="Heading4"/>
      </w:pPr>
      <w:r>
        <w:rPr>
          <w:rFonts w:ascii="Calibri" w:hAnsi="Calibri"/>
          <w:b/>
          <w:color w:val="3B4259"/>
          <w:sz w:val="22"/>
        </w:rPr>
        <w:t>Meta Platforms (META) — Q2 2026 Earnings (July 29, 2026)</w:t>
      </w:r>
    </w:p>
    <w:p>
      <w:pPr>
        <w:pStyle w:val="ListBullet"/>
        <w:ind w:left="360" w:hanging="360"/>
      </w:pPr>
      <w:r>
        <w:rPr>
          <w:rFonts w:ascii="Calibri" w:hAnsi="Calibri"/>
          <w:b/>
          <w:color w:val="525866"/>
          <w:sz w:val="22"/>
        </w:rPr>
        <w:t xml:space="preserve">FY2026 CapEx Narrowed to $130–$145B (from $125–$145B): </w:t>
      </w:r>
      <w:r>
        <w:rPr>
          <w:rFonts w:ascii="Calibri" w:hAnsi="Calibri"/>
          <w:color w:val="525866"/>
          <w:sz w:val="22"/>
        </w:rPr>
        <w:t xml:space="preserve">Meta narrowed its FY2026 CapEx guidance range, with Q2 CapEx of $31.1B driven by investments in servers, data centers, and network infrastructure. Meta announced a new 1 gigawatt data center in El Paso, Texas (with BlackRock). Plans are "geared towards maximizing 2026 and 2027 capacity." </w:t>
      </w:r>
      <w:r>
        <w:rPr>
          <w:rFonts w:ascii="Calibri" w:hAnsi="Calibri"/>
          <w:b/>
          <w:color w:val="525866"/>
          <w:sz w:val="22"/>
        </w:rPr>
        <w:t xml:space="preserve">Read-through: </w:t>
      </w:r>
      <w:r>
        <w:rPr>
          <w:rFonts w:ascii="Calibri" w:hAnsi="Calibri"/>
          <w:color w:val="525866"/>
          <w:sz w:val="22"/>
        </w:rPr>
        <w:t>Meta (Customer B in Arista's nomenclature) is one of Arista's largest customers; the CapEx acceleration and new data center announcements are directly positive for Arista's cloud titan revenue.</w:t>
      </w:r>
    </w:p>
    <w:p>
      <w:pPr>
        <w:pStyle w:val="ListBullet"/>
        <w:ind w:left="360" w:hanging="360"/>
      </w:pPr>
      <w:r>
        <w:rPr>
          <w:rFonts w:ascii="Calibri" w:hAnsi="Calibri"/>
          <w:b/>
          <w:color w:val="525866"/>
          <w:sz w:val="22"/>
        </w:rPr>
        <w:t xml:space="preserve">"Nowhere Near Enough Compute for All the Demand": </w:t>
      </w:r>
      <w:r>
        <w:rPr>
          <w:rFonts w:ascii="Calibri" w:hAnsi="Calibri"/>
          <w:color w:val="525866"/>
          <w:sz w:val="22"/>
        </w:rPr>
        <w:t xml:space="preserve">Mark Zuckerberg stated there is "nowhere near enough compute for all the demand," with Meta receiving "a lot of offers for compute at a significant premium." Industry capacity expected to remain tight for the foreseeable future. </w:t>
      </w:r>
      <w:r>
        <w:rPr>
          <w:rFonts w:ascii="Calibri" w:hAnsi="Calibri"/>
          <w:b/>
          <w:color w:val="525866"/>
          <w:sz w:val="22"/>
        </w:rPr>
        <w:t xml:space="preserve">Read-through: </w:t>
      </w:r>
      <w:r>
        <w:rPr>
          <w:rFonts w:ascii="Calibri" w:hAnsi="Calibri"/>
          <w:color w:val="525866"/>
          <w:sz w:val="22"/>
        </w:rPr>
        <w:t>Sustained compute scarcity drives continued network infrastructure investment; Meta's demand commentary is unambiguously positive for Arista's AI fabric business.</w:t>
      </w:r>
    </w:p>
    <w:p>
      <w:pPr>
        <w:pStyle w:val="Heading4"/>
      </w:pPr>
      <w:r>
        <w:rPr>
          <w:rFonts w:ascii="Calibri" w:hAnsi="Calibri"/>
          <w:b/>
          <w:color w:val="3B4259"/>
          <w:sz w:val="22"/>
        </w:rPr>
        <w:t>Microsoft (MSFT) — Q4 FY2026 Earnings (July 29, 2026, reporting calendar Q2 2026)</w:t>
      </w:r>
    </w:p>
    <w:p>
      <w:pPr>
        <w:pStyle w:val="ListBullet"/>
        <w:ind w:left="360" w:hanging="360"/>
      </w:pPr>
      <w:r>
        <w:rPr>
          <w:rFonts w:ascii="Calibri" w:hAnsi="Calibri"/>
          <w:b/>
          <w:color w:val="525866"/>
          <w:sz w:val="22"/>
        </w:rPr>
        <w:t xml:space="preserve">Added 31 New Data Centers in Q2; Q1 FY2027 CapEx Guided &gt;$50B: </w:t>
      </w:r>
      <w:r>
        <w:rPr>
          <w:rFonts w:ascii="Calibri" w:hAnsi="Calibri"/>
          <w:color w:val="525866"/>
          <w:sz w:val="22"/>
        </w:rPr>
        <w:t xml:space="preserve">Microsoft added 31 new data centers across five continents in Q2, bringing the total to 88 for the year. Added another gigawatt of capacity in Q2 and is "on track to roughly double overall capacity in just two years." Q1 FY2027 CapEx guided to &gt;$50B. </w:t>
      </w:r>
      <w:r>
        <w:rPr>
          <w:rFonts w:ascii="Calibri" w:hAnsi="Calibri"/>
          <w:b/>
          <w:color w:val="525866"/>
          <w:sz w:val="22"/>
        </w:rPr>
        <w:t xml:space="preserve">Read-through: </w:t>
      </w:r>
      <w:r>
        <w:rPr>
          <w:rFonts w:ascii="Calibri" w:hAnsi="Calibri"/>
          <w:color w:val="525866"/>
          <w:sz w:val="22"/>
        </w:rPr>
        <w:t>Microsoft (Customer A in Arista's nomenclature) is deploying Ethernet in the back-end after years of front-end investment — a direct positive for Arista's AI fabric revenue from its largest customer.</w:t>
      </w:r>
    </w:p>
    <w:p>
      <w:pPr>
        <w:pStyle w:val="ListBullet"/>
        <w:ind w:left="360" w:hanging="360"/>
      </w:pPr>
      <w:r>
        <w:rPr>
          <w:rFonts w:ascii="Calibri" w:hAnsi="Calibri"/>
          <w:b/>
          <w:color w:val="525866"/>
          <w:sz w:val="22"/>
        </w:rPr>
        <w:t xml:space="preserve">"Customer Demand Continues to Exceed Available Capacity": </w:t>
      </w:r>
      <w:r>
        <w:rPr>
          <w:rFonts w:ascii="Calibri" w:hAnsi="Calibri"/>
          <w:color w:val="525866"/>
          <w:sz w:val="22"/>
        </w:rPr>
        <w:t xml:space="preserve">CFO Amy Hood described the current situation as "a sort of relatively extreme moment" where demand exceeds supply. Hardware price increases are "impacting everybody equivalently." </w:t>
      </w:r>
      <w:r>
        <w:rPr>
          <w:rFonts w:ascii="Calibri" w:hAnsi="Calibri"/>
          <w:b/>
          <w:color w:val="525866"/>
          <w:sz w:val="22"/>
        </w:rPr>
        <w:t xml:space="preserve">Read-through: </w:t>
      </w:r>
      <w:r>
        <w:rPr>
          <w:rFonts w:ascii="Calibri" w:hAnsi="Calibri"/>
          <w:color w:val="525866"/>
          <w:sz w:val="22"/>
        </w:rPr>
        <w:t>Confirms the demand-supply imbalance; Microsoft's continued aggressive capacity build is a multi-year tailwind for Arista's networking revenue.</w:t>
      </w:r>
    </w:p>
    <w:p>
      <w:pPr>
        <w:pStyle w:val="Heading4"/>
      </w:pPr>
      <w:r>
        <w:rPr>
          <w:rFonts w:ascii="Calibri" w:hAnsi="Calibri"/>
          <w:b/>
          <w:color w:val="3B4259"/>
          <w:sz w:val="22"/>
        </w:rPr>
        <w:t>Amazon / AWS (AMZN) — Q2 2026 Earnings (July 30, 2026)</w:t>
      </w:r>
    </w:p>
    <w:p>
      <w:pPr>
        <w:pStyle w:val="ListBullet"/>
        <w:ind w:left="360" w:hanging="360"/>
      </w:pPr>
      <w:r>
        <w:rPr>
          <w:rFonts w:ascii="Calibri" w:hAnsi="Calibri"/>
          <w:b/>
          <w:color w:val="525866"/>
          <w:sz w:val="22"/>
        </w:rPr>
        <w:t xml:space="preserve">FY2026 CapEx Raised to ~$220B (from ~$200B): </w:t>
      </w:r>
      <w:r>
        <w:rPr>
          <w:rFonts w:ascii="Calibri" w:hAnsi="Calibri"/>
          <w:color w:val="525866"/>
          <w:sz w:val="22"/>
        </w:rPr>
        <w:t xml:space="preserve">Amazon raised its FY2026 cash CapEx guidance to ~$220B, with the increase driven by higher memory costs. AWS revenue grew 36.7% YoY (fifth consecutive quarter of acceleration, fastest in 18 quarters). AI revenue run rate exceeded $25B, growing at triple-digit percentages YoY. </w:t>
      </w:r>
      <w:r>
        <w:rPr>
          <w:rFonts w:ascii="Calibri" w:hAnsi="Calibri"/>
          <w:b/>
          <w:color w:val="525866"/>
          <w:sz w:val="22"/>
        </w:rPr>
        <w:t xml:space="preserve">Read-through: </w:t>
      </w:r>
      <w:r>
        <w:rPr>
          <w:rFonts w:ascii="Calibri" w:hAnsi="Calibri"/>
          <w:color w:val="525866"/>
          <w:sz w:val="22"/>
        </w:rPr>
        <w:t>AWS's accelerating growth and $220B CapEx commitment is the strongest single read-through for Arista's AI networking demand; AWS is a key Arista customer.</w:t>
      </w:r>
    </w:p>
    <w:p>
      <w:pPr>
        <w:pStyle w:val="ListBullet"/>
        <w:ind w:left="360" w:hanging="360"/>
      </w:pPr>
      <w:r>
        <w:rPr>
          <w:rFonts w:ascii="Calibri" w:hAnsi="Calibri"/>
          <w:b/>
          <w:color w:val="525866"/>
          <w:sz w:val="22"/>
        </w:rPr>
        <w:t xml:space="preserve">"Demand for 2028 is Striking": </w:t>
      </w:r>
      <w:r>
        <w:rPr>
          <w:rFonts w:ascii="Calibri" w:hAnsi="Calibri"/>
          <w:color w:val="525866"/>
          <w:sz w:val="22"/>
        </w:rPr>
        <w:t xml:space="preserve">CEO Andy Jassy stated that even at $220B CapEx, Amazon will "still not have enough capacity to meet all the demand in 2026," and that "the demand we already have for 2028 is striking." </w:t>
      </w:r>
      <w:r>
        <w:rPr>
          <w:rFonts w:ascii="Calibri" w:hAnsi="Calibri"/>
          <w:b/>
          <w:color w:val="525866"/>
          <w:sz w:val="22"/>
        </w:rPr>
        <w:t xml:space="preserve">Read-through: </w:t>
      </w:r>
      <w:r>
        <w:rPr>
          <w:rFonts w:ascii="Calibri" w:hAnsi="Calibri"/>
          <w:color w:val="525866"/>
          <w:sz w:val="22"/>
        </w:rPr>
        <w:t>Multi-year demand visibility is the most important read-through for Arista's long-term AI networking revenue trajectory.</w:t>
      </w:r>
    </w:p>
    <w:p>
      <w:pPr>
        <w:pStyle w:val="ListBullet"/>
        <w:ind w:left="360" w:hanging="360"/>
      </w:pPr>
      <w:r>
        <w:rPr>
          <w:rFonts w:ascii="Calibri" w:hAnsi="Calibri"/>
          <w:b/>
          <w:color w:val="525866"/>
          <w:sz w:val="22"/>
        </w:rPr>
        <w:t xml:space="preserve">Custom Network Gear Driving Efficiency: </w:t>
      </w:r>
      <w:r>
        <w:rPr>
          <w:rFonts w:ascii="Calibri" w:hAnsi="Calibri"/>
          <w:color w:val="525866"/>
          <w:sz w:val="22"/>
        </w:rPr>
        <w:t xml:space="preserve">Amazon noted investments in "lower cost custom silicon and custom network gear" to develop a more efficient network. </w:t>
      </w:r>
      <w:r>
        <w:rPr>
          <w:rFonts w:ascii="Calibri" w:hAnsi="Calibri"/>
          <w:b/>
          <w:color w:val="525866"/>
          <w:sz w:val="22"/>
        </w:rPr>
        <w:t xml:space="preserve">Watch item: </w:t>
      </w:r>
      <w:r>
        <w:rPr>
          <w:rFonts w:ascii="Calibri" w:hAnsi="Calibri"/>
          <w:color w:val="525866"/>
          <w:sz w:val="22"/>
        </w:rPr>
        <w:t>Amazon's custom networking efforts are a potential long-term headwind for Arista's share at AWS, though management has not flagged this as a near-term concern.</w:t>
      </w:r>
    </w:p>
    <w:p>
      <w:r>
        <w:rPr>
          <w:rFonts w:ascii="Calibri" w:hAnsi="Calibri"/>
          <w:i/>
          <w:color w:val="525866"/>
          <w:sz w:val="22"/>
        </w:rPr>
        <w:t>Sources: NVIDIA Q1 FY2027 Earnings Call (May 20, 2026); Cisco Q3 FY2026 Earnings Call (May 13, 2026); HPE Q2 FY2026 Earnings Call (June 1, 2026); Alphabet Q2 2026 Earnings Call (July 22, 2026); Meta Q2 2026 Earnings Call (July 29, 2026); Microsoft Q4 FY2026 Earnings Call (July 29, 2026); Amazon Q2 2026 Earnings Call (July 30,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open-market sales, and every single one is flagged as a 10b5-1 pre-planned sale — there are no discretionary sells and zero open-market buys. The volume is notable (Andreas Bechtolsheim alone sold ~1.7M shares since May), but the 10b5-1 nature of all transactions means these are obligation-driven and carry no negative signal about management's view of the upcoming quarter.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Jayshree Ullal</w:t>
            </w:r>
          </w:p>
        </w:tc>
        <w:tc>
          <w:tcPr>
            <w:tcW w:type="dxa" w:w="1440"/>
          </w:tcPr>
          <w:p>
            <w:r>
              <w:rPr>
                <w:rFonts w:ascii="Calibri" w:hAnsi="Calibri"/>
                <w:sz w:val="22"/>
              </w:rPr>
              <w:t>CEO &amp; Chairperson</w:t>
            </w:r>
          </w:p>
        </w:tc>
        <w:tc>
          <w:tcPr>
            <w:tcW w:type="dxa" w:w="1440"/>
          </w:tcPr>
          <w:p>
            <w:r>
              <w:rPr>
                <w:rFonts w:ascii="Calibri" w:hAnsi="Calibri"/>
                <w:sz w:val="22"/>
              </w:rPr>
              <w:t>10b5-1 Planned Sale</w:t>
            </w:r>
          </w:p>
        </w:tc>
        <w:tc>
          <w:tcPr>
            <w:tcW w:type="dxa" w:w="1440"/>
          </w:tcPr>
          <w:p>
            <w:r>
              <w:rPr>
                <w:rFonts w:ascii="Calibri" w:hAnsi="Calibri"/>
                <w:sz w:val="22"/>
              </w:rPr>
              <w:t>234,000 (combined, multiple trusts)</w:t>
            </w:r>
          </w:p>
        </w:tc>
        <w:tc>
          <w:tcPr>
            <w:tcW w:type="dxa" w:w="1440"/>
          </w:tcPr>
          <w:p>
            <w:r>
              <w:rPr>
                <w:rFonts w:ascii="Calibri" w:hAnsi="Calibri"/>
                <w:sz w:val="22"/>
              </w:rPr>
              <w:t>Jul 9–10, 2026</w:t>
            </w:r>
          </w:p>
        </w:tc>
        <w:tc>
          <w:tcPr>
            <w:tcW w:type="dxa" w:w="1440"/>
          </w:tcPr>
          <w:p>
            <w:r>
              <w:rPr>
                <w:rFonts w:ascii="Calibri" w:hAnsi="Calibri"/>
                <w:sz w:val="22"/>
              </w:rPr>
              <w:t>Pre-planned; sold via personal trust and children's trusts; obligation-driven</w:t>
            </w:r>
          </w:p>
        </w:tc>
      </w:tr>
      <w:tr>
        <w:tc>
          <w:tcPr>
            <w:tcW w:type="dxa" w:w="1440"/>
          </w:tcPr>
          <w:p>
            <w:r>
              <w:rPr>
                <w:rFonts w:ascii="Calibri" w:hAnsi="Calibri"/>
                <w:sz w:val="22"/>
              </w:rPr>
              <w:t>Jayshree Ullal</w:t>
            </w:r>
          </w:p>
        </w:tc>
        <w:tc>
          <w:tcPr>
            <w:tcW w:type="dxa" w:w="1440"/>
          </w:tcPr>
          <w:p>
            <w:r>
              <w:rPr>
                <w:rFonts w:ascii="Calibri" w:hAnsi="Calibri"/>
                <w:sz w:val="22"/>
              </w:rPr>
              <w:t>CEO &amp; Chairperson</w:t>
            </w:r>
          </w:p>
        </w:tc>
        <w:tc>
          <w:tcPr>
            <w:tcW w:type="dxa" w:w="1440"/>
          </w:tcPr>
          <w:p>
            <w:r>
              <w:rPr>
                <w:rFonts w:ascii="Calibri" w:hAnsi="Calibri"/>
                <w:sz w:val="22"/>
              </w:rPr>
              <w:t>10b5-1 Planned Sale</w:t>
            </w:r>
          </w:p>
        </w:tc>
        <w:tc>
          <w:tcPr>
            <w:tcW w:type="dxa" w:w="1440"/>
          </w:tcPr>
          <w:p>
            <w:r>
              <w:rPr>
                <w:rFonts w:ascii="Calibri" w:hAnsi="Calibri"/>
                <w:sz w:val="22"/>
              </w:rPr>
              <w:t>13,809</w:t>
            </w:r>
          </w:p>
        </w:tc>
        <w:tc>
          <w:tcPr>
            <w:tcW w:type="dxa" w:w="1440"/>
          </w:tcPr>
          <w:p>
            <w:r>
              <w:rPr>
                <w:rFonts w:ascii="Calibri" w:hAnsi="Calibri"/>
                <w:sz w:val="22"/>
              </w:rPr>
              <w:t>May 26, 2026</w:t>
            </w:r>
          </w:p>
        </w:tc>
        <w:tc>
          <w:tcPr>
            <w:tcW w:type="dxa" w:w="1440"/>
          </w:tcPr>
          <w:p>
            <w:r>
              <w:rPr>
                <w:rFonts w:ascii="Calibri" w:hAnsi="Calibri"/>
                <w:sz w:val="22"/>
              </w:rPr>
              <w:t>Pre-planned; direct self sale; obligation-driven</w:t>
            </w:r>
          </w:p>
        </w:tc>
      </w:tr>
      <w:tr>
        <w:tc>
          <w:tcPr>
            <w:tcW w:type="dxa" w:w="1440"/>
          </w:tcPr>
          <w:p>
            <w:r>
              <w:rPr>
                <w:rFonts w:ascii="Calibri" w:hAnsi="Calibri"/>
                <w:sz w:val="22"/>
              </w:rPr>
              <w:t>Andreas Bechtolsheim</w:t>
            </w:r>
          </w:p>
        </w:tc>
        <w:tc>
          <w:tcPr>
            <w:tcW w:type="dxa" w:w="1440"/>
          </w:tcPr>
          <w:p>
            <w:r>
              <w:rPr>
                <w:rFonts w:ascii="Calibri" w:hAnsi="Calibri"/>
                <w:sz w:val="22"/>
              </w:rPr>
              <w:t>10% Owner (Co-Founder)</w:t>
            </w:r>
          </w:p>
        </w:tc>
        <w:tc>
          <w:tcPr>
            <w:tcW w:type="dxa" w:w="1440"/>
          </w:tcPr>
          <w:p>
            <w:r>
              <w:rPr>
                <w:rFonts w:ascii="Calibri" w:hAnsi="Calibri"/>
                <w:sz w:val="22"/>
              </w:rPr>
              <w:t>10b5-1 Planned Sale</w:t>
            </w:r>
          </w:p>
        </w:tc>
        <w:tc>
          <w:tcPr>
            <w:tcW w:type="dxa" w:w="1440"/>
          </w:tcPr>
          <w:p>
            <w:r>
              <w:rPr>
                <w:rFonts w:ascii="Calibri" w:hAnsi="Calibri"/>
                <w:sz w:val="22"/>
              </w:rPr>
              <w:t>~1,725,000 (multiple transactions)</w:t>
            </w:r>
          </w:p>
        </w:tc>
        <w:tc>
          <w:tcPr>
            <w:tcW w:type="dxa" w:w="1440"/>
          </w:tcPr>
          <w:p>
            <w:r>
              <w:rPr>
                <w:rFonts w:ascii="Calibri" w:hAnsi="Calibri"/>
                <w:sz w:val="22"/>
              </w:rPr>
              <w:t>May 22 – Jul 14, 2026</w:t>
            </w:r>
          </w:p>
        </w:tc>
        <w:tc>
          <w:tcPr>
            <w:tcW w:type="dxa" w:w="1440"/>
          </w:tcPr>
          <w:p>
            <w:r>
              <w:rPr>
                <w:rFonts w:ascii="Calibri" w:hAnsi="Calibri"/>
                <w:sz w:val="22"/>
              </w:rPr>
              <w:t>Pre-planned; all via trust; consistent cadence; no negative signal</w:t>
            </w:r>
          </w:p>
        </w:tc>
      </w:tr>
      <w:tr>
        <w:tc>
          <w:tcPr>
            <w:tcW w:type="dxa" w:w="1440"/>
          </w:tcPr>
          <w:p>
            <w:r>
              <w:rPr>
                <w:rFonts w:ascii="Calibri" w:hAnsi="Calibri"/>
                <w:sz w:val="22"/>
              </w:rPr>
              <w:t>Kenneth Duda</w:t>
            </w:r>
          </w:p>
        </w:tc>
        <w:tc>
          <w:tcPr>
            <w:tcW w:type="dxa" w:w="1440"/>
          </w:tcPr>
          <w:p>
            <w:r>
              <w:rPr>
                <w:rFonts w:ascii="Calibri" w:hAnsi="Calibri"/>
                <w:sz w:val="22"/>
              </w:rPr>
              <w:t>President, CTO &amp; Director</w:t>
            </w:r>
          </w:p>
        </w:tc>
        <w:tc>
          <w:tcPr>
            <w:tcW w:type="dxa" w:w="1440"/>
          </w:tcPr>
          <w:p>
            <w:r>
              <w:rPr>
                <w:rFonts w:ascii="Calibri" w:hAnsi="Calibri"/>
                <w:sz w:val="22"/>
              </w:rPr>
              <w:t>10b5-1 Planned Sale</w:t>
            </w:r>
          </w:p>
        </w:tc>
        <w:tc>
          <w:tcPr>
            <w:tcW w:type="dxa" w:w="1440"/>
          </w:tcPr>
          <w:p>
            <w:r>
              <w:rPr>
                <w:rFonts w:ascii="Calibri" w:hAnsi="Calibri"/>
                <w:sz w:val="22"/>
              </w:rPr>
              <w:t>~86,666 (multiple transactions)</w:t>
            </w:r>
          </w:p>
        </w:tc>
        <w:tc>
          <w:tcPr>
            <w:tcW w:type="dxa" w:w="1440"/>
          </w:tcPr>
          <w:p>
            <w:r>
              <w:rPr>
                <w:rFonts w:ascii="Calibri" w:hAnsi="Calibri"/>
                <w:sz w:val="22"/>
              </w:rPr>
              <w:t>Jun 22 &amp; Jul 20, 2026</w:t>
            </w:r>
          </w:p>
        </w:tc>
        <w:tc>
          <w:tcPr>
            <w:tcW w:type="dxa" w:w="1440"/>
          </w:tcPr>
          <w:p>
            <w:r>
              <w:rPr>
                <w:rFonts w:ascii="Calibri" w:hAnsi="Calibri"/>
                <w:sz w:val="22"/>
              </w:rPr>
              <w:t>Pre-planned; sold via foundation, children's trust, and direct; obligation-driven</w:t>
            </w:r>
          </w:p>
        </w:tc>
      </w:tr>
      <w:tr>
        <w:tc>
          <w:tcPr>
            <w:tcW w:type="dxa" w:w="1440"/>
          </w:tcPr>
          <w:p>
            <w:r>
              <w:rPr>
                <w:rFonts w:ascii="Calibri" w:hAnsi="Calibri"/>
                <w:sz w:val="22"/>
              </w:rPr>
              <w:t>Chantelle Breithaupt</w:t>
            </w:r>
          </w:p>
        </w:tc>
        <w:tc>
          <w:tcPr>
            <w:tcW w:type="dxa" w:w="1440"/>
          </w:tcPr>
          <w:p>
            <w:r>
              <w:rPr>
                <w:rFonts w:ascii="Calibri" w:hAnsi="Calibri"/>
                <w:sz w:val="22"/>
              </w:rPr>
              <w:t>SVP &amp; CFO</w:t>
            </w:r>
          </w:p>
        </w:tc>
        <w:tc>
          <w:tcPr>
            <w:tcW w:type="dxa" w:w="1440"/>
          </w:tcPr>
          <w:p>
            <w:r>
              <w:rPr>
                <w:rFonts w:ascii="Calibri" w:hAnsi="Calibri"/>
                <w:sz w:val="22"/>
              </w:rPr>
              <w:t>10b5-1 Planned Sale</w:t>
            </w:r>
          </w:p>
        </w:tc>
        <w:tc>
          <w:tcPr>
            <w:tcW w:type="dxa" w:w="1440"/>
          </w:tcPr>
          <w:p>
            <w:r>
              <w:rPr>
                <w:rFonts w:ascii="Calibri" w:hAnsi="Calibri"/>
                <w:sz w:val="22"/>
              </w:rPr>
              <w:t>2,448</w:t>
            </w:r>
          </w:p>
        </w:tc>
        <w:tc>
          <w:tcPr>
            <w:tcW w:type="dxa" w:w="1440"/>
          </w:tcPr>
          <w:p>
            <w:r>
              <w:rPr>
                <w:rFonts w:ascii="Calibri" w:hAnsi="Calibri"/>
                <w:sz w:val="22"/>
              </w:rPr>
              <w:t>May 26, 2026</w:t>
            </w:r>
          </w:p>
        </w:tc>
        <w:tc>
          <w:tcPr>
            <w:tcW w:type="dxa" w:w="1440"/>
          </w:tcPr>
          <w:p>
            <w:r>
              <w:rPr>
                <w:rFonts w:ascii="Calibri" w:hAnsi="Calibri"/>
                <w:sz w:val="22"/>
              </w:rPr>
              <w:t>Pre-planned; direct self sale; small size; obligation-driven</w:t>
            </w:r>
          </w:p>
        </w:tc>
      </w:tr>
      <w:tr>
        <w:tc>
          <w:tcPr>
            <w:tcW w:type="dxa" w:w="1440"/>
          </w:tcPr>
          <w:p>
            <w:r>
              <w:rPr>
                <w:rFonts w:ascii="Calibri" w:hAnsi="Calibri"/>
                <w:sz w:val="22"/>
              </w:rPr>
              <w:t>Charles H. Giancarlo</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24,000 (three transactions)</w:t>
            </w:r>
          </w:p>
        </w:tc>
        <w:tc>
          <w:tcPr>
            <w:tcW w:type="dxa" w:w="1440"/>
          </w:tcPr>
          <w:p>
            <w:r>
              <w:rPr>
                <w:rFonts w:ascii="Calibri" w:hAnsi="Calibri"/>
                <w:sz w:val="22"/>
              </w:rPr>
              <w:t>May 1, Jun 1, Jul 1, 2026</w:t>
            </w:r>
          </w:p>
        </w:tc>
        <w:tc>
          <w:tcPr>
            <w:tcW w:type="dxa" w:w="1440"/>
          </w:tcPr>
          <w:p>
            <w:r>
              <w:rPr>
                <w:rFonts w:ascii="Calibri" w:hAnsi="Calibri"/>
                <w:sz w:val="22"/>
              </w:rPr>
              <w:t>Pre-planned; monthly cadence via trust; routine obligation-driven</w:t>
            </w:r>
          </w:p>
        </w:tc>
      </w:tr>
      <w:tr>
        <w:tc>
          <w:tcPr>
            <w:tcW w:type="dxa" w:w="1440"/>
          </w:tcPr>
          <w:p>
            <w:r>
              <w:rPr>
                <w:rFonts w:ascii="Calibri" w:hAnsi="Calibri"/>
                <w:sz w:val="22"/>
              </w:rPr>
              <w:t>Kelly Bodnar Battles</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422</w:t>
            </w:r>
          </w:p>
        </w:tc>
        <w:tc>
          <w:tcPr>
            <w:tcW w:type="dxa" w:w="1440"/>
          </w:tcPr>
          <w:p>
            <w:r>
              <w:rPr>
                <w:rFonts w:ascii="Calibri" w:hAnsi="Calibri"/>
                <w:sz w:val="22"/>
              </w:rPr>
              <w:t>May 21, 2026</w:t>
            </w:r>
          </w:p>
        </w:tc>
        <w:tc>
          <w:tcPr>
            <w:tcW w:type="dxa" w:w="1440"/>
          </w:tcPr>
          <w:p>
            <w:r>
              <w:rPr>
                <w:rFonts w:ascii="Calibri" w:hAnsi="Calibri"/>
                <w:sz w:val="22"/>
              </w:rPr>
              <w:t>Pre-planned; de minimis size; obligation-driven</w:t>
            </w:r>
          </w:p>
        </w:tc>
      </w:tr>
    </w:tbl>
    <w:p>
      <w:r>
        <w:rPr>
          <w:rFonts w:ascii="Calibri" w:hAnsi="Calibri"/>
          <w:b/>
          <w:color w:val="525866"/>
          <w:sz w:val="22"/>
        </w:rPr>
        <w:t xml:space="preserve">Summary: </w:t>
      </w:r>
      <w:r>
        <w:rPr>
          <w:rFonts w:ascii="Calibri" w:hAnsi="Calibri"/>
          <w:color w:val="525866"/>
          <w:sz w:val="22"/>
        </w:rPr>
        <w:t>There are zero open-market discretionary buys or sells in the period. Every transaction across all insiders is flagged as a 10b5-1 pre-planned sale — these are scheduled in advance and executed automatically, carrying no informational content about management's near-term view. The volume of Bechtolsheim's sales (~1.7M shares) is large in absolute terms but consistent with his historical cadence as a co-founder with a large position. No insider has initiated a new 10b5-1 plan or made any discretionary transaction that would signal concern about the upcoming print. 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