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APA Corporation (APA)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APA Corporation</w:t>
            </w:r>
          </w:p>
        </w:tc>
      </w:tr>
      <w:tr>
        <w:tc>
          <w:tcPr>
            <w:tcW w:type="dxa" w:w="4320"/>
          </w:tcPr>
          <w:p>
            <w:r>
              <w:rPr>
                <w:rFonts w:ascii="Calibri" w:hAnsi="Calibri"/>
                <w:b/>
                <w:sz w:val="22"/>
              </w:rPr>
              <w:t>Ticker</w:t>
            </w:r>
          </w:p>
        </w:tc>
        <w:tc>
          <w:tcPr>
            <w:tcW w:type="dxa" w:w="4320"/>
          </w:tcPr>
          <w:p>
            <w:r>
              <w:rPr>
                <w:rFonts w:ascii="Calibri" w:hAnsi="Calibri"/>
                <w:sz w:val="22"/>
              </w:rPr>
              <w:t>APA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Results Released</w:t>
            </w:r>
          </w:p>
        </w:tc>
        <w:tc>
          <w:tcPr>
            <w:tcW w:type="dxa" w:w="4320"/>
          </w:tcPr>
          <w:p>
            <w:r>
              <w:rPr>
                <w:rFonts w:ascii="Calibri" w:hAnsi="Calibri"/>
                <w:sz w:val="22"/>
              </w:rPr>
              <w:t>August 5, 2026</w:t>
            </w:r>
          </w:p>
        </w:tc>
      </w:tr>
      <w:tr>
        <w:tc>
          <w:tcPr>
            <w:tcW w:type="dxa" w:w="4320"/>
          </w:tcPr>
          <w:p>
            <w:r>
              <w:rPr>
                <w:rFonts w:ascii="Calibri" w:hAnsi="Calibri"/>
                <w:b/>
                <w:sz w:val="22"/>
              </w:rPr>
              <w:t>Earnings Call</w:t>
            </w:r>
          </w:p>
        </w:tc>
        <w:tc>
          <w:tcPr>
            <w:tcW w:type="dxa" w:w="4320"/>
          </w:tcPr>
          <w:p>
            <w:r>
              <w:rPr>
                <w:rFonts w:ascii="Calibri" w:hAnsi="Calibri"/>
                <w:sz w:val="22"/>
              </w:rPr>
              <w:t>August 6, 2026 — 10:00 a.m. Central Time</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APA delivered a clean beat on Q2 2026 — adjusted EPS of $1.89 vs. consensus of ~$1.87, free cash flow of $738M well above the ~$733M estimate, and U.S. oil production 2,500 bbl/d above guidance — but the setup heading into the call is about whether the raised cost-savings target ($500M vs. prior $450M) and the exploration optionality (Savant/Alaska, Uruguay/Eni) can re-rate a stock that has underperformed both XOP and the S&amp;P 500 since the Q1 print.</w:t>
      </w:r>
    </w:p>
    <w:p>
      <w:r>
        <w:rPr>
          <w:rFonts w:ascii="Calibri" w:hAnsi="Calibri"/>
          <w:color w:val="525866"/>
          <w:sz w:val="22"/>
        </w:rPr>
        <w:t xml:space="preserve">APA enters the Q2 2026 earnings call with the bar already cleared: the company released results on August 5 showing adjusted EPS of $1.89 (consensus ~$1.87), free cash flow of $738M, and U.S. oil production of 123,500 bbl/d — 2,500 bbl/d above guidance — driven by continued Permian D&amp;C efficiency gains and strong base production. </w:t>
      </w:r>
      <w:r>
        <w:rPr>
          <w:rFonts w:ascii="Calibri" w:hAnsi="Calibri"/>
          <w:b/>
          <w:color w:val="525866"/>
          <w:sz w:val="22"/>
        </w:rPr>
        <w:t>The most important guidance update is the raise in exit run-rate cost savings to $500M from $450M</w:t>
      </w:r>
      <w:r>
        <w:rPr>
          <w:rFonts w:ascii="Calibri" w:hAnsi="Calibri"/>
          <w:color w:val="525866"/>
          <w:sz w:val="22"/>
        </w:rPr>
        <w:t xml:space="preserve">, reflecting field-level efficiencies, well cost reductions, and corporate streamlining that are structurally lowering APA’s cost base. Management’s tone has been consistently confident on cost leadership and capital efficiency, and the Q2 release reinforces that posture with LOE and capex both coming in below guidance. Estimate revisions have been tracking guidance closely, with the FY 2026 consensus EPS of ~$5.40 and FCF of ~$2.2B broadly in line with company targets, though the as-of-May baseline showed some downward drift that the Q2 beat should partially reverse. </w:t>
      </w:r>
      <w:r>
        <w:rPr>
          <w:rFonts w:ascii="Calibri" w:hAnsi="Calibri"/>
          <w:b/>
          <w:color w:val="525866"/>
          <w:sz w:val="22"/>
        </w:rPr>
        <w:t>The stock is down ~4.4% since the Q1 earnings date versus XOP flat and SPY +5.2%</w:t>
      </w:r>
      <w:r>
        <w:rPr>
          <w:rFonts w:ascii="Calibri" w:hAnsi="Calibri"/>
          <w:color w:val="525866"/>
          <w:sz w:val="22"/>
        </w:rPr>
        <w:t xml:space="preserve">, suggesting the market has not yet credited the operational execution — a dynamic that could shift if management provides constructive Q3 guidance and clarity on the Suriname GranMorgu timeline. The key wildcard is the </w:t>
      </w:r>
      <w:r>
        <w:rPr>
          <w:rFonts w:ascii="Calibri" w:hAnsi="Calibri"/>
          <w:b/>
          <w:color w:val="525866"/>
          <w:sz w:val="22"/>
        </w:rPr>
        <w:t>Waha gas basis recovery</w:t>
      </w:r>
      <w:r>
        <w:rPr>
          <w:rFonts w:ascii="Calibri" w:hAnsi="Calibri"/>
          <w:color w:val="525866"/>
          <w:sz w:val="22"/>
        </w:rPr>
        <w:t>: management guided no curtailments in H2 2026, and peers (DVN, FANG) confirmed Waha turned positive in July — if that holds, U.S. BOE volumes and realized prices in Q3 could surprise meaningfully to the upside.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was a modest bar heading into Q2 and APA cleared it on every major metric — adjusted EPS, FCF, U.S. oil production, capex, and LOE all beat. </w:t>
      </w:r>
      <w:r>
        <w:rPr>
          <w:rFonts w:ascii="Calibri" w:hAnsi="Calibri"/>
          <w:b/>
          <w:color w:val="525866"/>
          <w:sz w:val="22"/>
        </w:rPr>
        <w:t>Free cash flow and U.S. oil production are the two biggest swing factors</w:t>
      </w:r>
      <w:r>
        <w:rPr>
          <w:rFonts w:ascii="Calibri" w:hAnsi="Calibri"/>
          <w:color w:val="525866"/>
          <w:sz w:val="22"/>
        </w:rPr>
        <w:t xml:space="preserve"> for the stock, and both came in above expectations; the bigger question for the call is Q3 guidance and whether Waha recovery translates into a volume/price uplift in H2.</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Reported</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Beat / Miss vs. Consensus</w:t>
            </w:r>
          </w:p>
        </w:tc>
      </w:tr>
      <w:tr>
        <w:tc>
          <w:tcPr>
            <w:tcW w:type="dxa" w:w="1234"/>
          </w:tcPr>
          <w:p>
            <w:r>
              <w:rPr>
                <w:rFonts w:ascii="Calibri" w:hAnsi="Calibri"/>
                <w:sz w:val="22"/>
              </w:rPr>
              <w:t>Adjusted EPS — Diluted Operating ($)</w:t>
            </w:r>
          </w:p>
        </w:tc>
        <w:tc>
          <w:tcPr>
            <w:tcW w:type="dxa" w:w="1234"/>
          </w:tcPr>
          <w:p>
            <w:r>
              <w:rPr>
                <w:rFonts w:ascii="Calibri" w:hAnsi="Calibri"/>
                <w:sz w:val="22"/>
              </w:rPr>
              <w:t>$1.38</w:t>
            </w:r>
          </w:p>
        </w:tc>
        <w:tc>
          <w:tcPr>
            <w:tcW w:type="dxa" w:w="1234"/>
          </w:tcPr>
          <w:p>
            <w:r>
              <w:rPr>
                <w:rFonts w:ascii="Calibri" w:hAnsi="Calibri"/>
                <w:sz w:val="22"/>
              </w:rPr>
              <w:t>$0.87</w:t>
            </w:r>
          </w:p>
        </w:tc>
        <w:tc>
          <w:tcPr>
            <w:tcW w:type="dxa" w:w="1234"/>
          </w:tcPr>
          <w:p>
            <w:r>
              <w:rPr>
                <w:rFonts w:ascii="Calibri" w:hAnsi="Calibri"/>
                <w:b/>
                <w:sz w:val="22"/>
              </w:rPr>
              <w:t>$1.89</w:t>
            </w:r>
          </w:p>
        </w:tc>
        <w:tc>
          <w:tcPr>
            <w:tcW w:type="dxa" w:w="1234"/>
          </w:tcPr>
          <w:p>
            <w:r>
              <w:rPr>
                <w:rFonts w:ascii="Calibri" w:hAnsi="Calibri"/>
                <w:sz w:val="22"/>
              </w:rPr>
              <w:t>$1.87</w:t>
            </w:r>
          </w:p>
        </w:tc>
        <w:tc>
          <w:tcPr>
            <w:tcW w:type="dxa" w:w="1234"/>
          </w:tcPr>
          <w:p>
            <w:r>
              <w:rPr>
                <w:rFonts w:ascii="Calibri" w:hAnsi="Calibri"/>
                <w:b/>
                <w:color w:val="30A46C"/>
                <w:sz w:val="22"/>
              </w:rPr>
              <w:t>+117%</w:t>
            </w:r>
          </w:p>
        </w:tc>
        <w:tc>
          <w:tcPr>
            <w:tcW w:type="dxa" w:w="1234"/>
          </w:tcPr>
          <w:p>
            <w:r>
              <w:rPr>
                <w:rFonts w:ascii="Calibri" w:hAnsi="Calibri"/>
                <w:b/>
                <w:color w:val="30A46C"/>
                <w:sz w:val="22"/>
              </w:rPr>
              <w:t>+$0.02 / +1.1%</w:t>
            </w:r>
          </w:p>
        </w:tc>
      </w:tr>
      <w:tr>
        <w:tc>
          <w:tcPr>
            <w:tcW w:type="dxa" w:w="1234"/>
          </w:tcPr>
          <w:p>
            <w:r>
              <w:rPr>
                <w:rFonts w:ascii="Calibri" w:hAnsi="Calibri"/>
                <w:sz w:val="22"/>
              </w:rPr>
              <w:t>Total Revenue ($M)</w:t>
            </w:r>
          </w:p>
        </w:tc>
        <w:tc>
          <w:tcPr>
            <w:tcW w:type="dxa" w:w="1234"/>
          </w:tcPr>
          <w:p>
            <w:r>
              <w:rPr>
                <w:rFonts w:ascii="Calibri" w:hAnsi="Calibri"/>
                <w:sz w:val="22"/>
              </w:rPr>
              <w:t>$2,140</w:t>
            </w:r>
          </w:p>
        </w:tc>
        <w:tc>
          <w:tcPr>
            <w:tcW w:type="dxa" w:w="1234"/>
          </w:tcPr>
          <w:p>
            <w:r>
              <w:rPr>
                <w:rFonts w:ascii="Calibri" w:hAnsi="Calibri"/>
                <w:sz w:val="22"/>
              </w:rPr>
              <w:t>$2,308</w:t>
            </w:r>
          </w:p>
        </w:tc>
        <w:tc>
          <w:tcPr>
            <w:tcW w:type="dxa" w:w="1234"/>
          </w:tcPr>
          <w:p>
            <w:r>
              <w:rPr>
                <w:rFonts w:ascii="Calibri" w:hAnsi="Calibri"/>
                <w:b/>
                <w:sz w:val="22"/>
              </w:rPr>
              <w:t>$2,373</w:t>
            </w:r>
          </w:p>
        </w:tc>
        <w:tc>
          <w:tcPr>
            <w:tcW w:type="dxa" w:w="1234"/>
          </w:tcPr>
          <w:p>
            <w:r>
              <w:rPr>
                <w:rFonts w:ascii="Calibri" w:hAnsi="Calibri"/>
                <w:sz w:val="22"/>
              </w:rPr>
              <w:t>$2,440</w:t>
            </w:r>
          </w:p>
        </w:tc>
        <w:tc>
          <w:tcPr>
            <w:tcW w:type="dxa" w:w="1234"/>
          </w:tcPr>
          <w:p>
            <w:r>
              <w:rPr>
                <w:rFonts w:ascii="Calibri" w:hAnsi="Calibri"/>
                <w:b/>
                <w:color w:val="30A46C"/>
                <w:sz w:val="22"/>
              </w:rPr>
              <w:t>+2.8%</w:t>
            </w:r>
          </w:p>
        </w:tc>
        <w:tc>
          <w:tcPr>
            <w:tcW w:type="dxa" w:w="1234"/>
          </w:tcPr>
          <w:p>
            <w:r>
              <w:rPr>
                <w:rFonts w:ascii="Calibri" w:hAnsi="Calibri"/>
                <w:b/>
                <w:color w:val="E5484D"/>
                <w:sz w:val="22"/>
              </w:rPr>
              <w:t>-$67M / -2.7%</w:t>
            </w:r>
          </w:p>
        </w:tc>
      </w:tr>
      <w:tr>
        <w:tc>
          <w:tcPr>
            <w:tcW w:type="dxa" w:w="1234"/>
          </w:tcPr>
          <w:p>
            <w:r>
              <w:rPr>
                <w:rFonts w:ascii="Calibri" w:hAnsi="Calibri"/>
                <w:sz w:val="22"/>
              </w:rPr>
              <w:t>Free Cash Flow ($M)</w:t>
            </w:r>
          </w:p>
        </w:tc>
        <w:tc>
          <w:tcPr>
            <w:tcW w:type="dxa" w:w="1234"/>
          </w:tcPr>
          <w:p>
            <w:r>
              <w:rPr>
                <w:rFonts w:ascii="Calibri" w:hAnsi="Calibri"/>
                <w:sz w:val="22"/>
              </w:rPr>
              <w:t>$477</w:t>
            </w:r>
          </w:p>
        </w:tc>
        <w:tc>
          <w:tcPr>
            <w:tcW w:type="dxa" w:w="1234"/>
          </w:tcPr>
          <w:p>
            <w:r>
              <w:rPr>
                <w:rFonts w:ascii="Calibri" w:hAnsi="Calibri"/>
                <w:sz w:val="22"/>
              </w:rPr>
              <w:t>$134</w:t>
            </w:r>
          </w:p>
        </w:tc>
        <w:tc>
          <w:tcPr>
            <w:tcW w:type="dxa" w:w="1234"/>
          </w:tcPr>
          <w:p>
            <w:r>
              <w:rPr>
                <w:rFonts w:ascii="Calibri" w:hAnsi="Calibri"/>
                <w:b/>
                <w:sz w:val="22"/>
              </w:rPr>
              <w:t>$738</w:t>
            </w:r>
          </w:p>
        </w:tc>
        <w:tc>
          <w:tcPr>
            <w:tcW w:type="dxa" w:w="1234"/>
          </w:tcPr>
          <w:p>
            <w:r>
              <w:rPr>
                <w:rFonts w:ascii="Calibri" w:hAnsi="Calibri"/>
                <w:sz w:val="22"/>
              </w:rPr>
              <w:t>$734</w:t>
            </w:r>
          </w:p>
        </w:tc>
        <w:tc>
          <w:tcPr>
            <w:tcW w:type="dxa" w:w="1234"/>
          </w:tcPr>
          <w:p>
            <w:r>
              <w:rPr>
                <w:rFonts w:ascii="Calibri" w:hAnsi="Calibri"/>
                <w:b/>
                <w:color w:val="30A46C"/>
                <w:sz w:val="22"/>
              </w:rPr>
              <w:t>+451%</w:t>
            </w:r>
          </w:p>
        </w:tc>
        <w:tc>
          <w:tcPr>
            <w:tcW w:type="dxa" w:w="1234"/>
          </w:tcPr>
          <w:p>
            <w:r>
              <w:rPr>
                <w:rFonts w:ascii="Calibri" w:hAnsi="Calibri"/>
                <w:b/>
                <w:color w:val="30A46C"/>
                <w:sz w:val="22"/>
              </w:rPr>
              <w:t>+$4M / +0.5%</w:t>
            </w:r>
          </w:p>
        </w:tc>
      </w:tr>
      <w:tr>
        <w:tc>
          <w:tcPr>
            <w:tcW w:type="dxa" w:w="1234"/>
          </w:tcPr>
          <w:p>
            <w:r>
              <w:rPr>
                <w:rFonts w:ascii="Calibri" w:hAnsi="Calibri"/>
                <w:sz w:val="22"/>
              </w:rPr>
              <w:t>Total Production (Mboe/d — Reported)</w:t>
            </w:r>
          </w:p>
        </w:tc>
        <w:tc>
          <w:tcPr>
            <w:tcW w:type="dxa" w:w="1234"/>
          </w:tcPr>
          <w:p>
            <w:r>
              <w:rPr>
                <w:rFonts w:ascii="Calibri" w:hAnsi="Calibri"/>
                <w:sz w:val="22"/>
              </w:rPr>
              <w:t>442 Mboe/d</w:t>
            </w:r>
          </w:p>
        </w:tc>
        <w:tc>
          <w:tcPr>
            <w:tcW w:type="dxa" w:w="1234"/>
          </w:tcPr>
          <w:p>
            <w:r>
              <w:rPr>
                <w:rFonts w:ascii="Calibri" w:hAnsi="Calibri"/>
                <w:sz w:val="22"/>
              </w:rPr>
              <w:t>465 Mboe/d</w:t>
            </w:r>
          </w:p>
        </w:tc>
        <w:tc>
          <w:tcPr>
            <w:tcW w:type="dxa" w:w="1234"/>
          </w:tcPr>
          <w:p>
            <w:r>
              <w:rPr>
                <w:rFonts w:ascii="Calibri" w:hAnsi="Calibri"/>
                <w:b/>
                <w:sz w:val="22"/>
              </w:rPr>
              <w:t>410 Mboe/d</w:t>
            </w:r>
          </w:p>
        </w:tc>
        <w:tc>
          <w:tcPr>
            <w:tcW w:type="dxa" w:w="1234"/>
          </w:tcPr>
          <w:p>
            <w:r>
              <w:rPr>
                <w:rFonts w:ascii="Calibri" w:hAnsi="Calibri"/>
                <w:sz w:val="22"/>
              </w:rPr>
              <w:t>409 Mboe/d</w:t>
            </w:r>
          </w:p>
        </w:tc>
        <w:tc>
          <w:tcPr>
            <w:tcW w:type="dxa" w:w="1234"/>
          </w:tcPr>
          <w:p>
            <w:r>
              <w:rPr>
                <w:rFonts w:ascii="Calibri" w:hAnsi="Calibri"/>
                <w:b/>
                <w:color w:val="E5484D"/>
                <w:sz w:val="22"/>
              </w:rPr>
              <w:t>-11.8%</w:t>
            </w:r>
          </w:p>
        </w:tc>
        <w:tc>
          <w:tcPr>
            <w:tcW w:type="dxa" w:w="1234"/>
          </w:tcPr>
          <w:p>
            <w:r>
              <w:rPr>
                <w:rFonts w:ascii="Calibri" w:hAnsi="Calibri"/>
                <w:b/>
                <w:color w:val="30A46C"/>
                <w:sz w:val="22"/>
              </w:rPr>
              <w:t>+1 Mboe/d / +0.2%</w:t>
            </w:r>
          </w:p>
        </w:tc>
      </w:tr>
      <w:tr>
        <w:tc>
          <w:tcPr>
            <w:tcW w:type="dxa" w:w="1234"/>
          </w:tcPr>
          <w:p>
            <w:r>
              <w:rPr>
                <w:rFonts w:ascii="Calibri" w:hAnsi="Calibri"/>
                <w:sz w:val="22"/>
              </w:rPr>
              <w:t>U.S. Oil Production (Mbbl/d)</w:t>
            </w:r>
          </w:p>
        </w:tc>
        <w:tc>
          <w:tcPr>
            <w:tcW w:type="dxa" w:w="1234"/>
          </w:tcPr>
          <w:p>
            <w:r>
              <w:rPr>
                <w:rFonts w:ascii="Calibri" w:hAnsi="Calibri"/>
                <w:sz w:val="22"/>
              </w:rPr>
              <w:t>123.9 Mbbl/d</w:t>
            </w:r>
          </w:p>
        </w:tc>
        <w:tc>
          <w:tcPr>
            <w:tcW w:type="dxa" w:w="1234"/>
          </w:tcPr>
          <w:p>
            <w:r>
              <w:rPr>
                <w:rFonts w:ascii="Calibri" w:hAnsi="Calibri"/>
                <w:sz w:val="22"/>
              </w:rPr>
              <w:t>123.7 Mbbl/d</w:t>
            </w:r>
          </w:p>
        </w:tc>
        <w:tc>
          <w:tcPr>
            <w:tcW w:type="dxa" w:w="1234"/>
          </w:tcPr>
          <w:p>
            <w:r>
              <w:rPr>
                <w:rFonts w:ascii="Calibri" w:hAnsi="Calibri"/>
                <w:b/>
                <w:sz w:val="22"/>
              </w:rPr>
              <w:t>123.5 Mbbl/d</w:t>
            </w:r>
          </w:p>
        </w:tc>
        <w:tc>
          <w:tcPr>
            <w:tcW w:type="dxa" w:w="1234"/>
          </w:tcPr>
          <w:p>
            <w:r>
              <w:rPr>
                <w:rFonts w:ascii="Calibri" w:hAnsi="Calibri"/>
                <w:sz w:val="22"/>
              </w:rPr>
              <w:t>121.7 Mbbl/d</w:t>
            </w:r>
          </w:p>
        </w:tc>
        <w:tc>
          <w:tcPr>
            <w:tcW w:type="dxa" w:w="1234"/>
          </w:tcPr>
          <w:p>
            <w:r>
              <w:rPr>
                <w:rFonts w:ascii="Calibri" w:hAnsi="Calibri"/>
                <w:sz w:val="22"/>
              </w:rPr>
              <w:t>-0.2%</w:t>
            </w:r>
          </w:p>
        </w:tc>
        <w:tc>
          <w:tcPr>
            <w:tcW w:type="dxa" w:w="1234"/>
          </w:tcPr>
          <w:p>
            <w:r>
              <w:rPr>
                <w:rFonts w:ascii="Calibri" w:hAnsi="Calibri"/>
                <w:b/>
                <w:color w:val="30A46C"/>
                <w:sz w:val="22"/>
              </w:rPr>
              <w:t>+1.8 Mbbl/d / +1.5%</w:t>
            </w:r>
          </w:p>
        </w:tc>
      </w:tr>
      <w:tr>
        <w:tc>
          <w:tcPr>
            <w:tcW w:type="dxa" w:w="1234"/>
          </w:tcPr>
          <w:p>
            <w:r>
              <w:rPr>
                <w:rFonts w:ascii="Calibri" w:hAnsi="Calibri"/>
                <w:sz w:val="22"/>
              </w:rPr>
              <w:t>Egypt Oil Production (Mbbl/d — Reported)</w:t>
            </w:r>
          </w:p>
        </w:tc>
        <w:tc>
          <w:tcPr>
            <w:tcW w:type="dxa" w:w="1234"/>
          </w:tcPr>
          <w:p>
            <w:r>
              <w:rPr>
                <w:rFonts w:ascii="Calibri" w:hAnsi="Calibri"/>
                <w:sz w:val="22"/>
              </w:rPr>
              <w:t>86.7 Mbbl/d</w:t>
            </w:r>
          </w:p>
        </w:tc>
        <w:tc>
          <w:tcPr>
            <w:tcW w:type="dxa" w:w="1234"/>
          </w:tcPr>
          <w:p>
            <w:r>
              <w:rPr>
                <w:rFonts w:ascii="Calibri" w:hAnsi="Calibri"/>
                <w:sz w:val="22"/>
              </w:rPr>
              <w:t>86.2 Mbbl/d</w:t>
            </w:r>
          </w:p>
        </w:tc>
        <w:tc>
          <w:tcPr>
            <w:tcW w:type="dxa" w:w="1234"/>
          </w:tcPr>
          <w:p>
            <w:r>
              <w:rPr>
                <w:rFonts w:ascii="Calibri" w:hAnsi="Calibri"/>
                <w:b/>
                <w:sz w:val="22"/>
              </w:rPr>
              <w:t>70.1 Mbbl/d</w:t>
            </w:r>
          </w:p>
        </w:tc>
        <w:tc>
          <w:tcPr>
            <w:tcW w:type="dxa" w:w="1234"/>
          </w:tcPr>
          <w:p>
            <w:r>
              <w:rPr>
                <w:rFonts w:ascii="Calibri" w:hAnsi="Calibri"/>
                <w:sz w:val="22"/>
              </w:rPr>
              <w:t>73.4 Mbbl/d</w:t>
            </w:r>
          </w:p>
        </w:tc>
        <w:tc>
          <w:tcPr>
            <w:tcW w:type="dxa" w:w="1234"/>
          </w:tcPr>
          <w:p>
            <w:r>
              <w:rPr>
                <w:rFonts w:ascii="Calibri" w:hAnsi="Calibri"/>
                <w:b/>
                <w:color w:val="E5484D"/>
                <w:sz w:val="22"/>
              </w:rPr>
              <w:t>-18.7%</w:t>
            </w:r>
          </w:p>
        </w:tc>
        <w:tc>
          <w:tcPr>
            <w:tcW w:type="dxa" w:w="1234"/>
          </w:tcPr>
          <w:p>
            <w:r>
              <w:rPr>
                <w:rFonts w:ascii="Calibri" w:hAnsi="Calibri"/>
                <w:b/>
                <w:color w:val="E5484D"/>
                <w:sz w:val="22"/>
              </w:rPr>
              <w:t>-3.3 Mbbl/d / -4.5%</w:t>
            </w:r>
          </w:p>
        </w:tc>
      </w:tr>
      <w:tr>
        <w:tc>
          <w:tcPr>
            <w:tcW w:type="dxa" w:w="1234"/>
          </w:tcPr>
          <w:p>
            <w:r>
              <w:rPr>
                <w:rFonts w:ascii="Calibri" w:hAnsi="Calibri"/>
                <w:sz w:val="22"/>
              </w:rPr>
              <w:t>Upstream Capex ($M)</w:t>
            </w:r>
          </w:p>
        </w:tc>
        <w:tc>
          <w:tcPr>
            <w:tcW w:type="dxa" w:w="1234"/>
          </w:tcPr>
          <w:p>
            <w:r>
              <w:rPr>
                <w:rFonts w:ascii="Calibri" w:hAnsi="Calibri"/>
                <w:sz w:val="22"/>
              </w:rPr>
              <w:t>$542</w:t>
            </w:r>
          </w:p>
        </w:tc>
        <w:tc>
          <w:tcPr>
            <w:tcW w:type="dxa" w:w="1234"/>
          </w:tcPr>
          <w:p>
            <w:r>
              <w:rPr>
                <w:rFonts w:ascii="Calibri" w:hAnsi="Calibri"/>
                <w:sz w:val="22"/>
              </w:rPr>
              <w:t>$660</w:t>
            </w:r>
          </w:p>
        </w:tc>
        <w:tc>
          <w:tcPr>
            <w:tcW w:type="dxa" w:w="1234"/>
          </w:tcPr>
          <w:p>
            <w:r>
              <w:rPr>
                <w:rFonts w:ascii="Calibri" w:hAnsi="Calibri"/>
                <w:b/>
                <w:sz w:val="22"/>
              </w:rPr>
              <w:t>$546</w:t>
            </w:r>
          </w:p>
        </w:tc>
        <w:tc>
          <w:tcPr>
            <w:tcW w:type="dxa" w:w="1234"/>
          </w:tcPr>
          <w:p>
            <w:r>
              <w:rPr>
                <w:rFonts w:ascii="Calibri" w:hAnsi="Calibri"/>
                <w:sz w:val="22"/>
              </w:rPr>
              <w:t>$578</w:t>
            </w:r>
          </w:p>
        </w:tc>
        <w:tc>
          <w:tcPr>
            <w:tcW w:type="dxa" w:w="1234"/>
          </w:tcPr>
          <w:p>
            <w:r>
              <w:rPr>
                <w:rFonts w:ascii="Calibri" w:hAnsi="Calibri"/>
                <w:b/>
                <w:color w:val="30A46C"/>
                <w:sz w:val="22"/>
              </w:rPr>
              <w:t>-17.3%</w:t>
            </w:r>
          </w:p>
        </w:tc>
        <w:tc>
          <w:tcPr>
            <w:tcW w:type="dxa" w:w="1234"/>
          </w:tcPr>
          <w:p>
            <w:r>
              <w:rPr>
                <w:rFonts w:ascii="Calibri" w:hAnsi="Calibri"/>
                <w:b/>
                <w:color w:val="30A46C"/>
                <w:sz w:val="22"/>
              </w:rPr>
              <w:t>-$32M / -5.5% (below est.)</w:t>
            </w:r>
          </w:p>
        </w:tc>
      </w:tr>
      <w:tr>
        <w:tc>
          <w:tcPr>
            <w:tcW w:type="dxa" w:w="1234"/>
          </w:tcPr>
          <w:p>
            <w:r>
              <w:rPr>
                <w:rFonts w:ascii="Calibri" w:hAnsi="Calibri"/>
                <w:sz w:val="22"/>
              </w:rPr>
              <w:t>Lease Operating Expense ($M)</w:t>
            </w:r>
          </w:p>
        </w:tc>
        <w:tc>
          <w:tcPr>
            <w:tcW w:type="dxa" w:w="1234"/>
          </w:tcPr>
          <w:p>
            <w:r>
              <w:rPr>
                <w:rFonts w:ascii="Calibri" w:hAnsi="Calibri"/>
                <w:sz w:val="22"/>
              </w:rPr>
              <w:t>$362</w:t>
            </w:r>
          </w:p>
        </w:tc>
        <w:tc>
          <w:tcPr>
            <w:tcW w:type="dxa" w:w="1234"/>
          </w:tcPr>
          <w:p>
            <w:r>
              <w:rPr>
                <w:rFonts w:ascii="Calibri" w:hAnsi="Calibri"/>
                <w:sz w:val="22"/>
              </w:rPr>
              <w:t>$367</w:t>
            </w:r>
          </w:p>
        </w:tc>
        <w:tc>
          <w:tcPr>
            <w:tcW w:type="dxa" w:w="1234"/>
          </w:tcPr>
          <w:p>
            <w:r>
              <w:rPr>
                <w:rFonts w:ascii="Calibri" w:hAnsi="Calibri"/>
                <w:b/>
                <w:sz w:val="22"/>
              </w:rPr>
              <w:t>$353</w:t>
            </w:r>
          </w:p>
        </w:tc>
        <w:tc>
          <w:tcPr>
            <w:tcW w:type="dxa" w:w="1234"/>
          </w:tcPr>
          <w:p>
            <w:r>
              <w:rPr>
                <w:rFonts w:ascii="Calibri" w:hAnsi="Calibri"/>
                <w:sz w:val="22"/>
              </w:rPr>
              <w:t>$372</w:t>
            </w:r>
          </w:p>
        </w:tc>
        <w:tc>
          <w:tcPr>
            <w:tcW w:type="dxa" w:w="1234"/>
          </w:tcPr>
          <w:p>
            <w:r>
              <w:rPr>
                <w:rFonts w:ascii="Calibri" w:hAnsi="Calibri"/>
                <w:b/>
                <w:color w:val="30A46C"/>
                <w:sz w:val="22"/>
              </w:rPr>
              <w:t>-3.8%</w:t>
            </w:r>
          </w:p>
        </w:tc>
        <w:tc>
          <w:tcPr>
            <w:tcW w:type="dxa" w:w="1234"/>
          </w:tcPr>
          <w:p>
            <w:r>
              <w:rPr>
                <w:rFonts w:ascii="Calibri" w:hAnsi="Calibri"/>
                <w:b/>
                <w:color w:val="30A46C"/>
                <w:sz w:val="22"/>
              </w:rPr>
              <w:t>-$19M / -5.1% (below est.)</w:t>
            </w:r>
          </w:p>
        </w:tc>
      </w:tr>
      <w:tr>
        <w:tc>
          <w:tcPr>
            <w:tcW w:type="dxa" w:w="1234"/>
          </w:tcPr>
          <w:p>
            <w:r>
              <w:rPr>
                <w:rFonts w:ascii="Calibri" w:hAnsi="Calibri"/>
                <w:sz w:val="22"/>
              </w:rPr>
              <w:t>Net Debt ($B)</w:t>
            </w:r>
          </w:p>
        </w:tc>
        <w:tc>
          <w:tcPr>
            <w:tcW w:type="dxa" w:w="1234"/>
          </w:tcPr>
          <w:p>
            <w:r>
              <w:rPr>
                <w:rFonts w:ascii="Calibri" w:hAnsi="Calibri"/>
                <w:sz w:val="22"/>
              </w:rPr>
              <w:t>$4.12B</w:t>
            </w:r>
          </w:p>
        </w:tc>
        <w:tc>
          <w:tcPr>
            <w:tcW w:type="dxa" w:w="1234"/>
          </w:tcPr>
          <w:p>
            <w:r>
              <w:rPr>
                <w:rFonts w:ascii="Calibri" w:hAnsi="Calibri"/>
                <w:sz w:val="22"/>
              </w:rPr>
              <w:t>$4.44B</w:t>
            </w:r>
          </w:p>
        </w:tc>
        <w:tc>
          <w:tcPr>
            <w:tcW w:type="dxa" w:w="1234"/>
          </w:tcPr>
          <w:p>
            <w:r>
              <w:rPr>
                <w:rFonts w:ascii="Calibri" w:hAnsi="Calibri"/>
                <w:b/>
                <w:sz w:val="22"/>
              </w:rPr>
              <w:t>$3.30B</w:t>
            </w:r>
          </w:p>
        </w:tc>
        <w:tc>
          <w:tcPr>
            <w:tcW w:type="dxa" w:w="1234"/>
          </w:tcPr>
          <w:p>
            <w:r>
              <w:rPr>
                <w:rFonts w:ascii="Calibri" w:hAnsi="Calibri"/>
                <w:sz w:val="22"/>
              </w:rPr>
              <w:t>$3.53B</w:t>
            </w:r>
          </w:p>
        </w:tc>
        <w:tc>
          <w:tcPr>
            <w:tcW w:type="dxa" w:w="1234"/>
          </w:tcPr>
          <w:p>
            <w:r>
              <w:rPr>
                <w:rFonts w:ascii="Calibri" w:hAnsi="Calibri"/>
                <w:b/>
                <w:color w:val="30A46C"/>
                <w:sz w:val="22"/>
              </w:rPr>
              <w:t>-25.7%</w:t>
            </w:r>
          </w:p>
        </w:tc>
        <w:tc>
          <w:tcPr>
            <w:tcW w:type="dxa" w:w="1234"/>
          </w:tcPr>
          <w:p>
            <w:r>
              <w:rPr>
                <w:rFonts w:ascii="Calibri" w:hAnsi="Calibri"/>
                <w:b/>
                <w:color w:val="30A46C"/>
                <w:sz w:val="22"/>
              </w:rPr>
              <w:t>-$0.23B vs. est. (better)</w:t>
            </w:r>
          </w:p>
        </w:tc>
      </w:tr>
    </w:tbl>
    <w:p>
      <w:r>
        <w:rPr>
          <w:rFonts w:ascii="Calibri" w:hAnsi="Calibri"/>
          <w:b/>
          <w:color w:val="525866"/>
          <w:sz w:val="22"/>
        </w:rPr>
        <w:t xml:space="preserve">Sources: </w:t>
      </w:r>
      <w:r>
        <w:rPr>
          <w:rFonts w:ascii="Calibri" w:hAnsi="Calibri"/>
          <w:color w:val="525866"/>
          <w:sz w:val="22"/>
        </w:rPr>
        <w:t>Actuals from APA Q2 2026 Earnings Release (August 5, 2026) and Visible Alpha consensus/actuals database. Egypt oil production decline YoY reflects PSC cost-recovery mechanics at higher Brent prices, not underlying gross production deterioration (gross Egypt production was 207,000 BOE/d). Total revenue consensus of $2,440M vs. reported $2,373M reflects lower purchased oil &amp; gas trading revenues, which are volatile quarter to quarter.</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Adjusted EPS — Diluted Operating | Free Cash Flow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$1.00</w:t>
            </w:r>
          </w:p>
        </w:tc>
        <w:tc>
          <w:tcPr>
            <w:tcW w:type="dxa" w:w="1440"/>
          </w:tcPr>
          <w:p>
            <w:r>
              <w:rPr>
                <w:rFonts w:ascii="Calibri" w:hAnsi="Calibri"/>
                <w:sz w:val="22"/>
              </w:rPr>
              <w:t>$0.92</w:t>
            </w:r>
          </w:p>
        </w:tc>
        <w:tc>
          <w:tcPr>
            <w:tcW w:type="dxa" w:w="1440"/>
          </w:tcPr>
          <w:p>
            <w:r>
              <w:rPr>
                <w:rFonts w:ascii="Calibri" w:hAnsi="Calibri"/>
                <w:b/>
                <w:color w:val="30A46C"/>
                <w:sz w:val="22"/>
              </w:rPr>
              <w:t>+8.2%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Free Cash Flow</w:t>
            </w:r>
          </w:p>
        </w:tc>
        <w:tc>
          <w:tcPr>
            <w:tcW w:type="dxa" w:w="1440"/>
          </w:tcPr>
          <w:p>
            <w:r>
              <w:rPr>
                <w:rFonts w:ascii="Calibri" w:hAnsi="Calibri"/>
                <w:sz w:val="22"/>
              </w:rPr>
              <w:t>$219M</w:t>
            </w:r>
          </w:p>
        </w:tc>
        <w:tc>
          <w:tcPr>
            <w:tcW w:type="dxa" w:w="1440"/>
          </w:tcPr>
          <w:p>
            <w:r>
              <w:rPr>
                <w:rFonts w:ascii="Calibri" w:hAnsi="Calibri"/>
                <w:sz w:val="22"/>
              </w:rPr>
              <w:t>$270M</w:t>
            </w:r>
          </w:p>
        </w:tc>
        <w:tc>
          <w:tcPr>
            <w:tcW w:type="dxa" w:w="1440"/>
          </w:tcPr>
          <w:p>
            <w:r>
              <w:rPr>
                <w:rFonts w:ascii="Calibri" w:hAnsi="Calibri"/>
                <w:b/>
                <w:color w:val="E5484D"/>
                <w:sz w:val="22"/>
              </w:rPr>
              <w:t>-18.9%</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$0.79</w:t>
            </w:r>
          </w:p>
        </w:tc>
        <w:tc>
          <w:tcPr>
            <w:tcW w:type="dxa" w:w="1440"/>
          </w:tcPr>
          <w:p>
            <w:r>
              <w:rPr>
                <w:rFonts w:ascii="Calibri" w:hAnsi="Calibri"/>
                <w:sz w:val="22"/>
              </w:rPr>
              <w:t>$0.92</w:t>
            </w:r>
          </w:p>
        </w:tc>
        <w:tc>
          <w:tcPr>
            <w:tcW w:type="dxa" w:w="1440"/>
          </w:tcPr>
          <w:p>
            <w:r>
              <w:rPr>
                <w:rFonts w:ascii="Calibri" w:hAnsi="Calibri"/>
                <w:b/>
                <w:color w:val="E5484D"/>
                <w:sz w:val="22"/>
              </w:rPr>
              <w:t>-14.1%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Free Cash Flow</w:t>
            </w:r>
          </w:p>
        </w:tc>
        <w:tc>
          <w:tcPr>
            <w:tcW w:type="dxa" w:w="1440"/>
          </w:tcPr>
          <w:p>
            <w:r>
              <w:rPr>
                <w:rFonts w:ascii="Calibri" w:hAnsi="Calibri"/>
                <w:sz w:val="22"/>
              </w:rPr>
              <w:t>$420M</w:t>
            </w:r>
          </w:p>
        </w:tc>
        <w:tc>
          <w:tcPr>
            <w:tcW w:type="dxa" w:w="1440"/>
          </w:tcPr>
          <w:p>
            <w:r>
              <w:rPr>
                <w:rFonts w:ascii="Calibri" w:hAnsi="Calibri"/>
                <w:sz w:val="22"/>
              </w:rPr>
              <w:t>$354M</w:t>
            </w:r>
          </w:p>
        </w:tc>
        <w:tc>
          <w:tcPr>
            <w:tcW w:type="dxa" w:w="1440"/>
          </w:tcPr>
          <w:p>
            <w:r>
              <w:rPr>
                <w:rFonts w:ascii="Calibri" w:hAnsi="Calibri"/>
                <w:b/>
                <w:color w:val="30A46C"/>
                <w:sz w:val="22"/>
              </w:rPr>
              <w:t>+18.6%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$1.06</w:t>
            </w:r>
          </w:p>
        </w:tc>
        <w:tc>
          <w:tcPr>
            <w:tcW w:type="dxa" w:w="1440"/>
          </w:tcPr>
          <w:p>
            <w:r>
              <w:rPr>
                <w:rFonts w:ascii="Calibri" w:hAnsi="Calibri"/>
                <w:sz w:val="22"/>
              </w:rPr>
              <w:t>$0.85</w:t>
            </w:r>
          </w:p>
        </w:tc>
        <w:tc>
          <w:tcPr>
            <w:tcW w:type="dxa" w:w="1440"/>
          </w:tcPr>
          <w:p>
            <w:r>
              <w:rPr>
                <w:rFonts w:ascii="Calibri" w:hAnsi="Calibri"/>
                <w:b/>
                <w:color w:val="30A46C"/>
                <w:sz w:val="22"/>
              </w:rPr>
              <w:t>+24.4%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Free Cash Flow</w:t>
            </w:r>
          </w:p>
        </w:tc>
        <w:tc>
          <w:tcPr>
            <w:tcW w:type="dxa" w:w="1440"/>
          </w:tcPr>
          <w:p>
            <w:r>
              <w:rPr>
                <w:rFonts w:ascii="Calibri" w:hAnsi="Calibri"/>
                <w:sz w:val="22"/>
              </w:rPr>
              <w:t>$126M</w:t>
            </w:r>
          </w:p>
        </w:tc>
        <w:tc>
          <w:tcPr>
            <w:tcW w:type="dxa" w:w="1440"/>
          </w:tcPr>
          <w:p>
            <w:r>
              <w:rPr>
                <w:rFonts w:ascii="Calibri" w:hAnsi="Calibri"/>
                <w:sz w:val="22"/>
              </w:rPr>
              <w:t>$183M</w:t>
            </w:r>
          </w:p>
        </w:tc>
        <w:tc>
          <w:tcPr>
            <w:tcW w:type="dxa" w:w="1440"/>
          </w:tcPr>
          <w:p>
            <w:r>
              <w:rPr>
                <w:rFonts w:ascii="Calibri" w:hAnsi="Calibri"/>
                <w:b/>
                <w:color w:val="E5484D"/>
                <w:sz w:val="22"/>
              </w:rPr>
              <w:t>-31.1%</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$0.87</w:t>
            </w:r>
          </w:p>
        </w:tc>
        <w:tc>
          <w:tcPr>
            <w:tcW w:type="dxa" w:w="1440"/>
          </w:tcPr>
          <w:p>
            <w:r>
              <w:rPr>
                <w:rFonts w:ascii="Calibri" w:hAnsi="Calibri"/>
                <w:sz w:val="22"/>
              </w:rPr>
              <w:t>$0.45</w:t>
            </w:r>
          </w:p>
        </w:tc>
        <w:tc>
          <w:tcPr>
            <w:tcW w:type="dxa" w:w="1440"/>
          </w:tcPr>
          <w:p>
            <w:r>
              <w:rPr>
                <w:rFonts w:ascii="Calibri" w:hAnsi="Calibri"/>
                <w:b/>
                <w:color w:val="30A46C"/>
                <w:sz w:val="22"/>
              </w:rPr>
              <w:t>+93.3%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Free Cash Flow</w:t>
            </w:r>
          </w:p>
        </w:tc>
        <w:tc>
          <w:tcPr>
            <w:tcW w:type="dxa" w:w="1440"/>
          </w:tcPr>
          <w:p>
            <w:r>
              <w:rPr>
                <w:rFonts w:ascii="Calibri" w:hAnsi="Calibri"/>
                <w:sz w:val="22"/>
              </w:rPr>
              <w:t>$134M</w:t>
            </w:r>
          </w:p>
        </w:tc>
        <w:tc>
          <w:tcPr>
            <w:tcW w:type="dxa" w:w="1440"/>
          </w:tcPr>
          <w:p>
            <w:r>
              <w:rPr>
                <w:rFonts w:ascii="Calibri" w:hAnsi="Calibri"/>
                <w:sz w:val="22"/>
              </w:rPr>
              <w:t>$134M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$0.93</w:t>
            </w:r>
          </w:p>
        </w:tc>
        <w:tc>
          <w:tcPr>
            <w:tcW w:type="dxa" w:w="1440"/>
          </w:tcPr>
          <w:p>
            <w:r>
              <w:rPr>
                <w:rFonts w:ascii="Calibri" w:hAnsi="Calibri"/>
                <w:sz w:val="22"/>
              </w:rPr>
              <w:t>$0.74</w:t>
            </w:r>
          </w:p>
        </w:tc>
        <w:tc>
          <w:tcPr>
            <w:tcW w:type="dxa" w:w="1440"/>
          </w:tcPr>
          <w:p>
            <w:r>
              <w:rPr>
                <w:rFonts w:ascii="Calibri" w:hAnsi="Calibri"/>
                <w:b/>
                <w:color w:val="30A46C"/>
                <w:sz w:val="22"/>
              </w:rPr>
              <w:t>+25.7%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Free Cash Flow</w:t>
            </w:r>
          </w:p>
        </w:tc>
        <w:tc>
          <w:tcPr>
            <w:tcW w:type="dxa" w:w="1440"/>
          </w:tcPr>
          <w:p>
            <w:r>
              <w:rPr>
                <w:rFonts w:ascii="Calibri" w:hAnsi="Calibri"/>
                <w:sz w:val="22"/>
              </w:rPr>
              <w:t>$339M</w:t>
            </w:r>
          </w:p>
        </w:tc>
        <w:tc>
          <w:tcPr>
            <w:tcW w:type="dxa" w:w="1440"/>
          </w:tcPr>
          <w:p>
            <w:r>
              <w:rPr>
                <w:rFonts w:ascii="Calibri" w:hAnsi="Calibri"/>
                <w:sz w:val="22"/>
              </w:rPr>
              <w:t>$212M</w:t>
            </w:r>
          </w:p>
        </w:tc>
        <w:tc>
          <w:tcPr>
            <w:tcW w:type="dxa" w:w="1440"/>
          </w:tcPr>
          <w:p>
            <w:r>
              <w:rPr>
                <w:rFonts w:ascii="Calibri" w:hAnsi="Calibri"/>
                <w:b/>
                <w:color w:val="30A46C"/>
                <w:sz w:val="22"/>
              </w:rPr>
              <w:t>+59.9%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$0.91</w:t>
            </w:r>
          </w:p>
        </w:tc>
        <w:tc>
          <w:tcPr>
            <w:tcW w:type="dxa" w:w="1440"/>
          </w:tcPr>
          <w:p>
            <w:r>
              <w:rPr>
                <w:rFonts w:ascii="Calibri" w:hAnsi="Calibri"/>
                <w:sz w:val="22"/>
              </w:rPr>
              <w:t>$0.57</w:t>
            </w:r>
          </w:p>
        </w:tc>
        <w:tc>
          <w:tcPr>
            <w:tcW w:type="dxa" w:w="1440"/>
          </w:tcPr>
          <w:p>
            <w:r>
              <w:rPr>
                <w:rFonts w:ascii="Calibri" w:hAnsi="Calibri"/>
                <w:b/>
                <w:color w:val="30A46C"/>
                <w:sz w:val="22"/>
              </w:rPr>
              <w:t>+58.9%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Free Cash Flow</w:t>
            </w:r>
          </w:p>
        </w:tc>
        <w:tc>
          <w:tcPr>
            <w:tcW w:type="dxa" w:w="1440"/>
          </w:tcPr>
          <w:p>
            <w:r>
              <w:rPr>
                <w:rFonts w:ascii="Calibri" w:hAnsi="Calibri"/>
                <w:sz w:val="22"/>
              </w:rPr>
              <w:t>$425M</w:t>
            </w:r>
          </w:p>
        </w:tc>
        <w:tc>
          <w:tcPr>
            <w:tcW w:type="dxa" w:w="1440"/>
          </w:tcPr>
          <w:p>
            <w:r>
              <w:rPr>
                <w:rFonts w:ascii="Calibri" w:hAnsi="Calibri"/>
                <w:sz w:val="22"/>
              </w:rPr>
              <w:t>$263M</w:t>
            </w:r>
          </w:p>
        </w:tc>
        <w:tc>
          <w:tcPr>
            <w:tcW w:type="dxa" w:w="1440"/>
          </w:tcPr>
          <w:p>
            <w:r>
              <w:rPr>
                <w:rFonts w:ascii="Calibri" w:hAnsi="Calibri"/>
                <w:b/>
                <w:color w:val="30A46C"/>
                <w:sz w:val="22"/>
              </w:rPr>
              <w:t>+61.4%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$1.38</w:t>
            </w:r>
          </w:p>
        </w:tc>
        <w:tc>
          <w:tcPr>
            <w:tcW w:type="dxa" w:w="1440"/>
          </w:tcPr>
          <w:p>
            <w:r>
              <w:rPr>
                <w:rFonts w:ascii="Calibri" w:hAnsi="Calibri"/>
                <w:sz w:val="22"/>
              </w:rPr>
              <w:t>$1.08</w:t>
            </w:r>
          </w:p>
        </w:tc>
        <w:tc>
          <w:tcPr>
            <w:tcW w:type="dxa" w:w="1440"/>
          </w:tcPr>
          <w:p>
            <w:r>
              <w:rPr>
                <w:rFonts w:ascii="Calibri" w:hAnsi="Calibri"/>
                <w:b/>
                <w:color w:val="30A46C"/>
                <w:sz w:val="22"/>
              </w:rPr>
              <w:t>+27.8%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Free Cash Flow</w:t>
            </w:r>
          </w:p>
        </w:tc>
        <w:tc>
          <w:tcPr>
            <w:tcW w:type="dxa" w:w="1440"/>
          </w:tcPr>
          <w:p>
            <w:r>
              <w:rPr>
                <w:rFonts w:ascii="Calibri" w:hAnsi="Calibri"/>
                <w:sz w:val="22"/>
              </w:rPr>
              <w:t>$477M</w:t>
            </w:r>
          </w:p>
        </w:tc>
        <w:tc>
          <w:tcPr>
            <w:tcW w:type="dxa" w:w="1440"/>
          </w:tcPr>
          <w:p>
            <w:r>
              <w:rPr>
                <w:rFonts w:ascii="Calibri" w:hAnsi="Calibri"/>
                <w:sz w:val="22"/>
              </w:rPr>
              <w:t>$379M</w:t>
            </w:r>
          </w:p>
        </w:tc>
        <w:tc>
          <w:tcPr>
            <w:tcW w:type="dxa" w:w="1440"/>
          </w:tcPr>
          <w:p>
            <w:r>
              <w:rPr>
                <w:rFonts w:ascii="Calibri" w:hAnsi="Calibri"/>
                <w:b/>
                <w:color w:val="30A46C"/>
                <w:sz w:val="22"/>
              </w:rPr>
              <w:t>+25.9%</w:t>
            </w:r>
          </w:p>
        </w:tc>
        <w:tc>
          <w:tcPr>
            <w:tcW w:type="dxa" w:w="1440"/>
          </w:tcPr>
          <w:p>
            <w:r>
              <w:rPr>
                <w:rFonts w:ascii="Calibri" w:hAnsi="Calibri"/>
                <w:b/>
                <w:color w:val="30A46C"/>
                <w:sz w:val="22"/>
              </w:rPr>
              <w:t>BEAT</w:t>
            </w:r>
          </w:p>
        </w:tc>
      </w:tr>
      <w:tr>
        <w:tc>
          <w:tcPr>
            <w:tcW w:type="dxa" w:w="1440"/>
          </w:tcPr>
          <w:p>
            <w:r>
              <w:rPr>
                <w:rFonts w:ascii="Calibri" w:hAnsi="Calibri"/>
                <w:sz w:val="22"/>
              </w:rPr>
              <w:t>Q2 2026</w:t>
            </w:r>
          </w:p>
        </w:tc>
        <w:tc>
          <w:tcPr>
            <w:tcW w:type="dxa" w:w="1440"/>
          </w:tcPr>
          <w:p>
            <w:r>
              <w:rPr>
                <w:rFonts w:ascii="Calibri" w:hAnsi="Calibri"/>
                <w:sz w:val="22"/>
              </w:rPr>
              <w:t>Adj. EPS</w:t>
            </w:r>
          </w:p>
        </w:tc>
        <w:tc>
          <w:tcPr>
            <w:tcW w:type="dxa" w:w="1440"/>
          </w:tcPr>
          <w:p>
            <w:r>
              <w:rPr>
                <w:rFonts w:ascii="Calibri" w:hAnsi="Calibri"/>
                <w:sz w:val="22"/>
              </w:rPr>
              <w:t>$1.89</w:t>
            </w:r>
          </w:p>
        </w:tc>
        <w:tc>
          <w:tcPr>
            <w:tcW w:type="dxa" w:w="1440"/>
          </w:tcPr>
          <w:p>
            <w:r>
              <w:rPr>
                <w:rFonts w:ascii="Calibri" w:hAnsi="Calibri"/>
                <w:sz w:val="22"/>
              </w:rPr>
              <w:t>$1.87</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2026</w:t>
            </w:r>
          </w:p>
        </w:tc>
        <w:tc>
          <w:tcPr>
            <w:tcW w:type="dxa" w:w="1440"/>
          </w:tcPr>
          <w:p>
            <w:r>
              <w:rPr>
                <w:rFonts w:ascii="Calibri" w:hAnsi="Calibri"/>
                <w:sz w:val="22"/>
              </w:rPr>
              <w:t>Free Cash Flow</w:t>
            </w:r>
          </w:p>
        </w:tc>
        <w:tc>
          <w:tcPr>
            <w:tcW w:type="dxa" w:w="1440"/>
          </w:tcPr>
          <w:p>
            <w:r>
              <w:rPr>
                <w:rFonts w:ascii="Calibri" w:hAnsi="Calibri"/>
                <w:sz w:val="22"/>
              </w:rPr>
              <w:t>$738M</w:t>
            </w:r>
          </w:p>
        </w:tc>
        <w:tc>
          <w:tcPr>
            <w:tcW w:type="dxa" w:w="1440"/>
          </w:tcPr>
          <w:p>
            <w:r>
              <w:rPr>
                <w:rFonts w:ascii="Calibri" w:hAnsi="Calibri"/>
                <w:sz w:val="22"/>
              </w:rPr>
              <w:t>$734M</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APA has beaten adjusted EPS consensus in 7 of the last 8 quarters, often by wide margins, reflecting a consistent pattern of conservative guidance; FCF beats are less consistent (3 misses in 8 quarters) due to working capital and trading portfolio timing, but the trend has improved sharply in the last four quarters with beats averaging ~+37%.</w:t>
      </w:r>
    </w:p>
    <w:p>
      <w:r>
        <w:rPr>
          <w:rFonts w:ascii="Calibri" w:hAnsi="Calibri"/>
          <w:color w:val="525866"/>
          <w:sz w:val="22"/>
        </w:rPr>
        <w:t>Source: Visible Alpha consensus/actuals database; Q2 2026 actuals from APA earnings release (August 5,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on three fronts in Q2 — U.S. oil production, exit run-rate cost savings, and LOE — while holding capex flat, signaling continued operational outperformance. </w:t>
      </w:r>
      <w:r>
        <w:rPr>
          <w:rFonts w:ascii="Calibri" w:hAnsi="Calibri"/>
          <w:b/>
          <w:color w:val="525866"/>
          <w:sz w:val="22"/>
        </w:rPr>
        <w:t>Tone has shifted from confident to highly confident</w:t>
      </w:r>
      <w:r>
        <w:rPr>
          <w:rFonts w:ascii="Calibri" w:hAnsi="Calibri"/>
          <w:color w:val="525866"/>
          <w:sz w:val="22"/>
        </w:rPr>
        <w:t>, with the cost savings target now $500M (vs. original $350M two years ago), and the balance sheet on track to reach the $3B net debt target imminently.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7, 2026)</w:t>
            </w:r>
          </w:p>
        </w:tc>
        <w:tc>
          <w:tcPr>
            <w:tcW w:type="dxa" w:w="1728"/>
            <w:shd w:val="clear" w:color="auto" w:fill="3B4259"/>
          </w:tcPr>
          <w:p>
            <w:r>
              <w:rPr>
                <w:rFonts w:ascii="Calibri" w:hAnsi="Calibri"/>
                <w:b/>
                <w:color w:val="FFFFFF"/>
                <w:sz w:val="22"/>
              </w:rPr>
              <w:t>Revised Guidance (Q2 2026 Release — Aug 5,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U.S. Oil Production</w:t>
            </w:r>
          </w:p>
        </w:tc>
        <w:tc>
          <w:tcPr>
            <w:tcW w:type="dxa" w:w="1728"/>
          </w:tcPr>
          <w:p>
            <w:r>
              <w:rPr>
                <w:rFonts w:ascii="Calibri" w:hAnsi="Calibri"/>
                <w:sz w:val="22"/>
              </w:rPr>
              <w:t>122,000 bbl/d</w:t>
            </w:r>
          </w:p>
        </w:tc>
        <w:tc>
          <w:tcPr>
            <w:tcW w:type="dxa" w:w="1728"/>
          </w:tcPr>
          <w:p>
            <w:r>
              <w:rPr>
                <w:rFonts w:ascii="Calibri" w:hAnsi="Calibri"/>
                <w:b/>
                <w:color w:val="30A46C"/>
                <w:sz w:val="22"/>
              </w:rPr>
              <w:t>123,000 bbl/d</w:t>
            </w:r>
          </w:p>
        </w:tc>
        <w:tc>
          <w:tcPr>
            <w:tcW w:type="dxa" w:w="1728"/>
          </w:tcPr>
          <w:p>
            <w:r>
              <w:rPr>
                <w:rFonts w:ascii="Calibri" w:hAnsi="Calibri"/>
                <w:sz w:val="22"/>
              </w:rPr>
              <w:t>122,672 bbl/d (VA)</w:t>
            </w:r>
          </w:p>
        </w:tc>
        <w:tc>
          <w:tcPr>
            <w:tcW w:type="dxa" w:w="1728"/>
          </w:tcPr>
          <w:p>
            <w:r>
              <w:rPr>
                <w:rFonts w:ascii="Calibri" w:hAnsi="Calibri"/>
                <w:sz w:val="22"/>
              </w:rPr>
              <w:t>↑ Raised Aug 5; reflects continued Permian D&amp;C efficiency gains and strong base production</w:t>
            </w:r>
          </w:p>
        </w:tc>
      </w:tr>
      <w:tr>
        <w:tc>
          <w:tcPr>
            <w:tcW w:type="dxa" w:w="1728"/>
          </w:tcPr>
          <w:p>
            <w:r>
              <w:rPr>
                <w:rFonts w:ascii="Calibri" w:hAnsi="Calibri"/>
                <w:sz w:val="22"/>
              </w:rPr>
              <w:t>FY 2026 Total Upstream Capex</w:t>
            </w:r>
          </w:p>
        </w:tc>
        <w:tc>
          <w:tcPr>
            <w:tcW w:type="dxa" w:w="1728"/>
          </w:tcPr>
          <w:p>
            <w:r>
              <w:rPr>
                <w:rFonts w:ascii="Calibri" w:hAnsi="Calibri"/>
                <w:sz w:val="22"/>
              </w:rPr>
              <w:t>$2.10B</w:t>
            </w:r>
          </w:p>
        </w:tc>
        <w:tc>
          <w:tcPr>
            <w:tcW w:type="dxa" w:w="1728"/>
          </w:tcPr>
          <w:p>
            <w:r>
              <w:rPr>
                <w:rFonts w:ascii="Calibri" w:hAnsi="Calibri"/>
                <w:b/>
                <w:color w:val="30A46C"/>
                <w:sz w:val="22"/>
              </w:rPr>
              <w:t>$2.07B</w:t>
            </w:r>
          </w:p>
        </w:tc>
        <w:tc>
          <w:tcPr>
            <w:tcW w:type="dxa" w:w="1728"/>
          </w:tcPr>
          <w:p>
            <w:r>
              <w:rPr>
                <w:rFonts w:ascii="Calibri" w:hAnsi="Calibri"/>
                <w:sz w:val="22"/>
              </w:rPr>
              <w:t>$2.15B (VA)</w:t>
            </w:r>
          </w:p>
        </w:tc>
        <w:tc>
          <w:tcPr>
            <w:tcW w:type="dxa" w:w="1728"/>
          </w:tcPr>
          <w:p>
            <w:r>
              <w:rPr>
                <w:rFonts w:ascii="Calibri" w:hAnsi="Calibri"/>
                <w:sz w:val="22"/>
              </w:rPr>
              <w:t>↓ Slightly lowered Aug 5; reflects shift in timing of Suriname Block 58 exploration activity</w:t>
            </w:r>
          </w:p>
        </w:tc>
      </w:tr>
      <w:tr>
        <w:tc>
          <w:tcPr>
            <w:tcW w:type="dxa" w:w="1728"/>
          </w:tcPr>
          <w:p>
            <w:r>
              <w:rPr>
                <w:rFonts w:ascii="Calibri" w:hAnsi="Calibri"/>
                <w:sz w:val="22"/>
              </w:rPr>
              <w:t>FY 2026 Lease Operating Expense</w:t>
            </w:r>
          </w:p>
        </w:tc>
        <w:tc>
          <w:tcPr>
            <w:tcW w:type="dxa" w:w="1728"/>
          </w:tcPr>
          <w:p>
            <w:r>
              <w:rPr>
                <w:rFonts w:ascii="Calibri" w:hAnsi="Calibri"/>
                <w:sz w:val="22"/>
              </w:rPr>
              <w:t>$15.25/boe (full year $1.525B)</w:t>
            </w:r>
          </w:p>
        </w:tc>
        <w:tc>
          <w:tcPr>
            <w:tcW w:type="dxa" w:w="1728"/>
          </w:tcPr>
          <w:p>
            <w:r>
              <w:rPr>
                <w:rFonts w:ascii="Calibri" w:hAnsi="Calibri"/>
                <w:b/>
                <w:color w:val="30A46C"/>
                <w:sz w:val="22"/>
              </w:rPr>
              <w:t>$1.50B (lowered $25M)</w:t>
            </w:r>
          </w:p>
        </w:tc>
        <w:tc>
          <w:tcPr>
            <w:tcW w:type="dxa" w:w="1728"/>
          </w:tcPr>
          <w:p>
            <w:r>
              <w:rPr>
                <w:rFonts w:ascii="Calibri" w:hAnsi="Calibri"/>
                <w:sz w:val="22"/>
              </w:rPr>
              <w:t>$1.503B (VA)</w:t>
            </w:r>
          </w:p>
        </w:tc>
        <w:tc>
          <w:tcPr>
            <w:tcW w:type="dxa" w:w="1728"/>
          </w:tcPr>
          <w:p>
            <w:r>
              <w:rPr>
                <w:rFonts w:ascii="Calibri" w:hAnsi="Calibri"/>
                <w:sz w:val="22"/>
              </w:rPr>
              <w:t>↓ Lowered Aug 5; field-level efficiencies and well cost reductions driving structural LOE improvement</w:t>
            </w:r>
          </w:p>
        </w:tc>
      </w:tr>
      <w:tr>
        <w:tc>
          <w:tcPr>
            <w:tcW w:type="dxa" w:w="1728"/>
          </w:tcPr>
          <w:p>
            <w:r>
              <w:rPr>
                <w:rFonts w:ascii="Calibri" w:hAnsi="Calibri"/>
                <w:sz w:val="22"/>
              </w:rPr>
              <w:t>Exit Run-Rate Cost Savings (2026)</w:t>
            </w:r>
          </w:p>
        </w:tc>
        <w:tc>
          <w:tcPr>
            <w:tcW w:type="dxa" w:w="1728"/>
          </w:tcPr>
          <w:p>
            <w:r>
              <w:rPr>
                <w:rFonts w:ascii="Calibri" w:hAnsi="Calibri"/>
                <w:sz w:val="22"/>
              </w:rPr>
              <w:t>$450M target</w:t>
            </w:r>
          </w:p>
        </w:tc>
        <w:tc>
          <w:tcPr>
            <w:tcW w:type="dxa" w:w="1728"/>
          </w:tcPr>
          <w:p>
            <w:r>
              <w:rPr>
                <w:rFonts w:ascii="Calibri" w:hAnsi="Calibri"/>
                <w:b/>
                <w:color w:val="30A46C"/>
                <w:sz w:val="22"/>
              </w:rPr>
              <w:t>$500M target</w:t>
            </w:r>
          </w:p>
        </w:tc>
        <w:tc>
          <w:tcPr>
            <w:tcW w:type="dxa" w:w="1728"/>
          </w:tcPr>
          <w:p>
            <w:r>
              <w:rPr>
                <w:rFonts w:ascii="Calibri" w:hAnsi="Calibri"/>
                <w:sz w:val="22"/>
              </w:rPr>
              <w:t>N/A — not in VA</w:t>
            </w:r>
          </w:p>
        </w:tc>
        <w:tc>
          <w:tcPr>
            <w:tcW w:type="dxa" w:w="1728"/>
          </w:tcPr>
          <w:p>
            <w:r>
              <w:rPr>
                <w:rFonts w:ascii="Calibri" w:hAnsi="Calibri"/>
                <w:sz w:val="22"/>
              </w:rPr>
              <w:t>↑ Raised Aug 5; reflects accelerating momentum across field ops, well costs, and corporate streamlining</w:t>
            </w:r>
          </w:p>
        </w:tc>
      </w:tr>
      <w:tr>
        <w:tc>
          <w:tcPr>
            <w:tcW w:type="dxa" w:w="1728"/>
          </w:tcPr>
          <w:p>
            <w:r>
              <w:rPr>
                <w:rFonts w:ascii="Calibri" w:hAnsi="Calibri"/>
                <w:sz w:val="22"/>
              </w:rPr>
              <w:t>FY 2026 Free Cash Flow</w:t>
            </w:r>
          </w:p>
        </w:tc>
        <w:tc>
          <w:tcPr>
            <w:tcW w:type="dxa" w:w="1728"/>
          </w:tcPr>
          <w:p>
            <w:r>
              <w:rPr>
                <w:rFonts w:ascii="Calibri" w:hAnsi="Calibri"/>
                <w:sz w:val="22"/>
              </w:rPr>
              <w:t>~$2.2B</w:t>
            </w:r>
          </w:p>
        </w:tc>
        <w:tc>
          <w:tcPr>
            <w:tcW w:type="dxa" w:w="1728"/>
          </w:tcPr>
          <w:p>
            <w:r>
              <w:rPr>
                <w:rFonts w:ascii="Calibri" w:hAnsi="Calibri"/>
                <w:sz w:val="22"/>
              </w:rPr>
              <w:t>Unchanged (implied higher given H1 = $1.2B)</w:t>
            </w:r>
          </w:p>
        </w:tc>
        <w:tc>
          <w:tcPr>
            <w:tcW w:type="dxa" w:w="1728"/>
          </w:tcPr>
          <w:p>
            <w:r>
              <w:rPr>
                <w:rFonts w:ascii="Calibri" w:hAnsi="Calibri"/>
                <w:sz w:val="22"/>
              </w:rPr>
              <w:t>$2.22B (VA)</w:t>
            </w:r>
          </w:p>
        </w:tc>
        <w:tc>
          <w:tcPr>
            <w:tcW w:type="dxa" w:w="1728"/>
          </w:tcPr>
          <w:p>
            <w:r>
              <w:rPr>
                <w:rFonts w:ascii="Calibri" w:hAnsi="Calibri"/>
                <w:sz w:val="22"/>
              </w:rPr>
              <w:t>H1 FCF of $1.2B already represents 55% of full-year target; H2 Waha recovery is upside</w:t>
            </w:r>
          </w:p>
        </w:tc>
      </w:tr>
      <w:tr>
        <w:tc>
          <w:tcPr>
            <w:tcW w:type="dxa" w:w="1728"/>
          </w:tcPr>
          <w:p>
            <w:r>
              <w:rPr>
                <w:rFonts w:ascii="Calibri" w:hAnsi="Calibri"/>
                <w:sz w:val="22"/>
              </w:rPr>
              <w:t>Gas Trading Portfolio Pretax Cash Flow</w:t>
            </w:r>
          </w:p>
        </w:tc>
        <w:tc>
          <w:tcPr>
            <w:tcW w:type="dxa" w:w="1728"/>
          </w:tcPr>
          <w:p>
            <w:r>
              <w:rPr>
                <w:rFonts w:ascii="Calibri" w:hAnsi="Calibri"/>
                <w:sz w:val="22"/>
              </w:rPr>
              <w:t>~$1.1B (FY 2026)</w:t>
            </w:r>
          </w:p>
        </w:tc>
        <w:tc>
          <w:tcPr>
            <w:tcW w:type="dxa" w:w="1728"/>
          </w:tcPr>
          <w:p>
            <w:r>
              <w:rPr>
                <w:rFonts w:ascii="Calibri" w:hAnsi="Calibri"/>
                <w:sz w:val="22"/>
              </w:rPr>
              <w:t>Unchanged</w:t>
            </w:r>
          </w:p>
        </w:tc>
        <w:tc>
          <w:tcPr>
            <w:tcW w:type="dxa" w:w="1728"/>
          </w:tcPr>
          <w:p>
            <w:r>
              <w:rPr>
                <w:rFonts w:ascii="Calibri" w:hAnsi="Calibri"/>
                <w:sz w:val="22"/>
              </w:rPr>
              <w:t>N/A — not in VA</w:t>
            </w:r>
          </w:p>
        </w:tc>
        <w:tc>
          <w:tcPr>
            <w:tcW w:type="dxa" w:w="1728"/>
          </w:tcPr>
          <w:p>
            <w:r>
              <w:rPr>
                <w:rFonts w:ascii="Calibri" w:hAnsi="Calibri"/>
                <w:sz w:val="22"/>
              </w:rPr>
              <w:t>Key FCF driver; based on current strip pricing including wider Waha basis and higher LNG prices</w:t>
            </w:r>
          </w:p>
        </w:tc>
      </w:tr>
      <w:tr>
        <w:tc>
          <w:tcPr>
            <w:tcW w:type="dxa" w:w="1728"/>
          </w:tcPr>
          <w:p>
            <w:r>
              <w:rPr>
                <w:rFonts w:ascii="Calibri" w:hAnsi="Calibri"/>
                <w:sz w:val="22"/>
              </w:rPr>
              <w:t>Net Debt Target</w:t>
            </w:r>
          </w:p>
        </w:tc>
        <w:tc>
          <w:tcPr>
            <w:tcW w:type="dxa" w:w="1728"/>
          </w:tcPr>
          <w:p>
            <w:r>
              <w:rPr>
                <w:rFonts w:ascii="Calibri" w:hAnsi="Calibri"/>
                <w:sz w:val="22"/>
              </w:rPr>
              <w:t>$3.0B (near-term)</w:t>
            </w:r>
          </w:p>
        </w:tc>
        <w:tc>
          <w:tcPr>
            <w:tcW w:type="dxa" w:w="1728"/>
          </w:tcPr>
          <w:p>
            <w:r>
              <w:rPr>
                <w:rFonts w:ascii="Calibri" w:hAnsi="Calibri"/>
                <w:sz w:val="22"/>
              </w:rPr>
              <w:t>On track; Q2 net debt = $3.3B</w:t>
            </w:r>
          </w:p>
        </w:tc>
        <w:tc>
          <w:tcPr>
            <w:tcW w:type="dxa" w:w="1728"/>
          </w:tcPr>
          <w:p>
            <w:r>
              <w:rPr>
                <w:rFonts w:ascii="Calibri" w:hAnsi="Calibri"/>
                <w:sz w:val="22"/>
              </w:rPr>
              <w:t>$3.02B FY 2026 (VA)</w:t>
            </w:r>
          </w:p>
        </w:tc>
        <w:tc>
          <w:tcPr>
            <w:tcW w:type="dxa" w:w="1728"/>
          </w:tcPr>
          <w:p>
            <w:r>
              <w:rPr>
                <w:rFonts w:ascii="Calibri" w:hAnsi="Calibri"/>
                <w:sz w:val="22"/>
              </w:rPr>
              <w:t>Repaid $752M of near-term bonds in H1; total debt down $2.3B since YE 2024; next maturity late 2029</w:t>
            </w:r>
          </w:p>
        </w:tc>
      </w:tr>
      <w:tr>
        <w:tc>
          <w:tcPr>
            <w:tcW w:type="dxa" w:w="1728"/>
          </w:tcPr>
          <w:p>
            <w:r>
              <w:rPr>
                <w:rFonts w:ascii="Calibri" w:hAnsi="Calibri"/>
                <w:sz w:val="22"/>
              </w:rPr>
              <w:t>Egypt Adjusted Production (Q2 2026)</w:t>
            </w:r>
          </w:p>
        </w:tc>
        <w:tc>
          <w:tcPr>
            <w:tcW w:type="dxa" w:w="1728"/>
          </w:tcPr>
          <w:p>
            <w:r>
              <w:rPr>
                <w:rFonts w:ascii="Calibri" w:hAnsi="Calibri"/>
                <w:sz w:val="22"/>
              </w:rPr>
              <w:t>~61,000 BOE/d (guided at Q1 call)</w:t>
            </w:r>
          </w:p>
        </w:tc>
        <w:tc>
          <w:tcPr>
            <w:tcW w:type="dxa" w:w="1728"/>
          </w:tcPr>
          <w:p>
            <w:r>
              <w:rPr>
                <w:rFonts w:ascii="Calibri" w:hAnsi="Calibri"/>
                <w:sz w:val="22"/>
              </w:rPr>
              <w:t>61,000 BOE/d (in line)</w:t>
            </w:r>
          </w:p>
        </w:tc>
        <w:tc>
          <w:tcPr>
            <w:tcW w:type="dxa" w:w="1728"/>
          </w:tcPr>
          <w:p>
            <w:r>
              <w:rPr>
                <w:rFonts w:ascii="Calibri" w:hAnsi="Calibri"/>
                <w:sz w:val="22"/>
              </w:rPr>
              <w:t>N/A</w:t>
            </w:r>
          </w:p>
        </w:tc>
        <w:tc>
          <w:tcPr>
            <w:tcW w:type="dxa" w:w="1728"/>
          </w:tcPr>
          <w:p>
            <w:r>
              <w:rPr>
                <w:rFonts w:ascii="Calibri" w:hAnsi="Calibri"/>
                <w:sz w:val="22"/>
              </w:rPr>
              <w:t>Decline from Q1 driven by PSC cost-recovery mechanics at higher Brent; gross production 207,000 BOE/d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w:t>
      </w:r>
      <w:r>
        <w:rPr>
          <w:rFonts w:ascii="Calibri" w:hAnsi="Calibri"/>
          <w:b/>
          <w:color w:val="525866"/>
          <w:sz w:val="22"/>
        </w:rPr>
        <w:t>downward since the Q1 2026 earnings baseline</w:t>
      </w:r>
      <w:r>
        <w:rPr>
          <w:rFonts w:ascii="Calibri" w:hAnsi="Calibri"/>
          <w:color w:val="525866"/>
          <w:sz w:val="22"/>
        </w:rPr>
        <w:t xml:space="preserve"> for both the upcoming quarter and full year, reflecting lower commodity price assumptions and Egypt PSC volume mechanics — but the Q2 beat and raised guidance should trigger upward revisions. The gap between current consensus and guidance is narrow on FCF and capex, suggesting the street is broadly aligned with management’s framework.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(as of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 Revised Guidance (Aug 5)</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$1.96</w:t>
            </w:r>
          </w:p>
        </w:tc>
        <w:tc>
          <w:tcPr>
            <w:tcW w:type="dxa" w:w="1080"/>
          </w:tcPr>
          <w:p>
            <w:r>
              <w:rPr>
                <w:rFonts w:ascii="Calibri" w:hAnsi="Calibri"/>
                <w:sz w:val="22"/>
              </w:rPr>
              <w:t>$1.87</w:t>
            </w:r>
          </w:p>
        </w:tc>
        <w:tc>
          <w:tcPr>
            <w:tcW w:type="dxa" w:w="1080"/>
          </w:tcPr>
          <w:p>
            <w:r>
              <w:rPr>
                <w:rFonts w:ascii="Calibri" w:hAnsi="Calibri"/>
                <w:b/>
                <w:color w:val="E5484D"/>
                <w:sz w:val="22"/>
              </w:rPr>
              <w:t>-4.6%</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$5.78</w:t>
            </w:r>
          </w:p>
        </w:tc>
        <w:tc>
          <w:tcPr>
            <w:tcW w:type="dxa" w:w="1080"/>
          </w:tcPr>
          <w:p>
            <w:r>
              <w:rPr>
                <w:rFonts w:ascii="Calibri" w:hAnsi="Calibri"/>
                <w:sz w:val="22"/>
              </w:rPr>
              <w:t>$5.40</w:t>
            </w:r>
          </w:p>
        </w:tc>
        <w:tc>
          <w:tcPr>
            <w:tcW w:type="dxa" w:w="1080"/>
          </w:tcPr>
          <w:p>
            <w:r>
              <w:rPr>
                <w:rFonts w:ascii="Calibri" w:hAnsi="Calibri"/>
                <w:b/>
                <w:color w:val="E5484D"/>
                <w:sz w:val="22"/>
              </w:rPr>
              <w:t>-6.6%</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Q2 2026</w:t>
            </w:r>
          </w:p>
        </w:tc>
        <w:tc>
          <w:tcPr>
            <w:tcW w:type="dxa" w:w="1080"/>
          </w:tcPr>
          <w:p>
            <w:r>
              <w:rPr>
                <w:rFonts w:ascii="Calibri" w:hAnsi="Calibri"/>
                <w:sz w:val="22"/>
              </w:rPr>
              <w:t>$1,112M</w:t>
            </w:r>
          </w:p>
        </w:tc>
        <w:tc>
          <w:tcPr>
            <w:tcW w:type="dxa" w:w="1080"/>
          </w:tcPr>
          <w:p>
            <w:r>
              <w:rPr>
                <w:rFonts w:ascii="Calibri" w:hAnsi="Calibri"/>
                <w:sz w:val="22"/>
              </w:rPr>
              <w:t>$734M</w:t>
            </w:r>
          </w:p>
        </w:tc>
        <w:tc>
          <w:tcPr>
            <w:tcW w:type="dxa" w:w="1080"/>
          </w:tcPr>
          <w:p>
            <w:r>
              <w:rPr>
                <w:rFonts w:ascii="Calibri" w:hAnsi="Calibri"/>
                <w:b/>
                <w:color w:val="E5484D"/>
                <w:sz w:val="22"/>
              </w:rPr>
              <w:t>-34.0%</w:t>
            </w:r>
          </w:p>
        </w:tc>
        <w:tc>
          <w:tcPr>
            <w:tcW w:type="dxa" w:w="1080"/>
          </w:tcPr>
          <w:p>
            <w:r>
              <w:rPr>
                <w:rFonts w:ascii="Calibri" w:hAnsi="Calibri"/>
                <w:sz w:val="22"/>
              </w:rPr>
              <w:t>~$2.2B FY (implied ~$550M/Q avg)</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+33% vs. Q2 est. (Q2 actual $738M)</w:t>
            </w:r>
          </w:p>
        </w:tc>
      </w:tr>
      <w:tr>
        <w:tc>
          <w:tcPr>
            <w:tcW w:type="dxa" w:w="1080"/>
          </w:tcPr>
          <w:p>
            <w:r>
              <w:rPr>
                <w:rFonts w:ascii="Calibri" w:hAnsi="Calibri"/>
                <w:sz w:val="22"/>
              </w:rPr>
              <w:t>Free Cash Flow — FY 2026</w:t>
            </w:r>
          </w:p>
        </w:tc>
        <w:tc>
          <w:tcPr>
            <w:tcW w:type="dxa" w:w="1080"/>
          </w:tcPr>
          <w:p>
            <w:r>
              <w:rPr>
                <w:rFonts w:ascii="Calibri" w:hAnsi="Calibri"/>
                <w:sz w:val="22"/>
              </w:rPr>
              <w:t>$2,681M</w:t>
            </w:r>
          </w:p>
        </w:tc>
        <w:tc>
          <w:tcPr>
            <w:tcW w:type="dxa" w:w="1080"/>
          </w:tcPr>
          <w:p>
            <w:r>
              <w:rPr>
                <w:rFonts w:ascii="Calibri" w:hAnsi="Calibri"/>
                <w:sz w:val="22"/>
              </w:rPr>
              <w:t>$2,224M</w:t>
            </w:r>
          </w:p>
        </w:tc>
        <w:tc>
          <w:tcPr>
            <w:tcW w:type="dxa" w:w="1080"/>
          </w:tcPr>
          <w:p>
            <w:r>
              <w:rPr>
                <w:rFonts w:ascii="Calibri" w:hAnsi="Calibri"/>
                <w:b/>
                <w:color w:val="E5484D"/>
                <w:sz w:val="22"/>
              </w:rPr>
              <w:t>-17.1%</w:t>
            </w:r>
          </w:p>
        </w:tc>
        <w:tc>
          <w:tcPr>
            <w:tcW w:type="dxa" w:w="1080"/>
          </w:tcPr>
          <w:p>
            <w:r>
              <w:rPr>
                <w:rFonts w:ascii="Calibri" w:hAnsi="Calibri"/>
                <w:sz w:val="22"/>
              </w:rPr>
              <w:t>~$2.2B</w:t>
            </w:r>
          </w:p>
        </w:tc>
        <w:tc>
          <w:tcPr>
            <w:tcW w:type="dxa" w:w="1080"/>
          </w:tcPr>
          <w:p>
            <w:r>
              <w:rPr>
                <w:rFonts w:ascii="Calibri" w:hAnsi="Calibri"/>
                <w:sz w:val="22"/>
              </w:rPr>
              <w:t>~$2.2B (unchanged)</w:t>
            </w:r>
          </w:p>
        </w:tc>
        <w:tc>
          <w:tcPr>
            <w:tcW w:type="dxa" w:w="1080"/>
          </w:tcPr>
          <w:p>
            <w:r>
              <w:rPr>
                <w:rFonts w:ascii="Calibri" w:hAnsi="Calibri"/>
                <w:sz w:val="22"/>
              </w:rPr>
              <w:t>Flat</w:t>
            </w:r>
          </w:p>
        </w:tc>
        <w:tc>
          <w:tcPr>
            <w:tcW w:type="dxa" w:w="1080"/>
          </w:tcPr>
          <w:p>
            <w:r>
              <w:rPr>
                <w:rFonts w:ascii="Calibri" w:hAnsi="Calibri"/>
                <w:sz w:val="22"/>
              </w:rPr>
              <w:t>+1.1% above guidance midpoint</w:t>
            </w:r>
          </w:p>
        </w:tc>
      </w:tr>
      <w:tr>
        <w:tc>
          <w:tcPr>
            <w:tcW w:type="dxa" w:w="1080"/>
          </w:tcPr>
          <w:p>
            <w:r>
              <w:rPr>
                <w:rFonts w:ascii="Calibri" w:hAnsi="Calibri"/>
                <w:sz w:val="22"/>
              </w:rPr>
              <w:t>Total Revenue — Q2 2026</w:t>
            </w:r>
          </w:p>
        </w:tc>
        <w:tc>
          <w:tcPr>
            <w:tcW w:type="dxa" w:w="1080"/>
          </w:tcPr>
          <w:p>
            <w:r>
              <w:rPr>
                <w:rFonts w:ascii="Calibri" w:hAnsi="Calibri"/>
                <w:sz w:val="22"/>
              </w:rPr>
              <w:t>$2,491M</w:t>
            </w:r>
          </w:p>
        </w:tc>
        <w:tc>
          <w:tcPr>
            <w:tcW w:type="dxa" w:w="1080"/>
          </w:tcPr>
          <w:p>
            <w:r>
              <w:rPr>
                <w:rFonts w:ascii="Calibri" w:hAnsi="Calibri"/>
                <w:sz w:val="22"/>
              </w:rPr>
              <w:t>$2,440M</w:t>
            </w:r>
          </w:p>
        </w:tc>
        <w:tc>
          <w:tcPr>
            <w:tcW w:type="dxa" w:w="1080"/>
          </w:tcPr>
          <w:p>
            <w:r>
              <w:rPr>
                <w:rFonts w:ascii="Calibri" w:hAnsi="Calibri"/>
                <w:b/>
                <w:color w:val="E5484D"/>
                <w:sz w:val="22"/>
              </w:rPr>
              <w:t>-2.0%</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$9,003M</w:t>
            </w:r>
          </w:p>
        </w:tc>
        <w:tc>
          <w:tcPr>
            <w:tcW w:type="dxa" w:w="1080"/>
          </w:tcPr>
          <w:p>
            <w:r>
              <w:rPr>
                <w:rFonts w:ascii="Calibri" w:hAnsi="Calibri"/>
                <w:sz w:val="22"/>
              </w:rPr>
              <w:t>$8,833M</w:t>
            </w:r>
          </w:p>
        </w:tc>
        <w:tc>
          <w:tcPr>
            <w:tcW w:type="dxa" w:w="1080"/>
          </w:tcPr>
          <w:p>
            <w:r>
              <w:rPr>
                <w:rFonts w:ascii="Calibri" w:hAnsi="Calibri"/>
                <w:b/>
                <w:color w:val="E5484D"/>
                <w:sz w:val="22"/>
              </w:rPr>
              <w:t>-1.9%</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U.S. Oil Production — FY 2026 (Mbbl/d)</w:t>
            </w:r>
          </w:p>
        </w:tc>
        <w:tc>
          <w:tcPr>
            <w:tcW w:type="dxa" w:w="1080"/>
          </w:tcPr>
          <w:p>
            <w:r>
              <w:rPr>
                <w:rFonts w:ascii="Calibri" w:hAnsi="Calibri"/>
                <w:sz w:val="22"/>
              </w:rPr>
              <w:t>121.6 Mbbl/d</w:t>
            </w:r>
          </w:p>
        </w:tc>
        <w:tc>
          <w:tcPr>
            <w:tcW w:type="dxa" w:w="1080"/>
          </w:tcPr>
          <w:p>
            <w:r>
              <w:rPr>
                <w:rFonts w:ascii="Calibri" w:hAnsi="Calibri"/>
                <w:sz w:val="22"/>
              </w:rPr>
              <w:t>122.7 Mbbl/d</w:t>
            </w:r>
          </w:p>
        </w:tc>
        <w:tc>
          <w:tcPr>
            <w:tcW w:type="dxa" w:w="1080"/>
          </w:tcPr>
          <w:p>
            <w:r>
              <w:rPr>
                <w:rFonts w:ascii="Calibri" w:hAnsi="Calibri"/>
                <w:b/>
                <w:color w:val="30A46C"/>
                <w:sz w:val="22"/>
              </w:rPr>
              <w:t>+0.9%</w:t>
            </w:r>
          </w:p>
        </w:tc>
        <w:tc>
          <w:tcPr>
            <w:tcW w:type="dxa" w:w="1080"/>
          </w:tcPr>
          <w:p>
            <w:r>
              <w:rPr>
                <w:rFonts w:ascii="Calibri" w:hAnsi="Calibri"/>
                <w:sz w:val="22"/>
              </w:rPr>
              <w:t>122,000 bbl/d</w:t>
            </w:r>
          </w:p>
        </w:tc>
        <w:tc>
          <w:tcPr>
            <w:tcW w:type="dxa" w:w="1080"/>
          </w:tcPr>
          <w:p>
            <w:r>
              <w:rPr>
                <w:rFonts w:ascii="Calibri" w:hAnsi="Calibri"/>
                <w:sz w:val="22"/>
              </w:rPr>
              <w:t>123,000 bbl/d (↑ raised)</w:t>
            </w:r>
          </w:p>
        </w:tc>
        <w:tc>
          <w:tcPr>
            <w:tcW w:type="dxa" w:w="1080"/>
          </w:tcPr>
          <w:p>
            <w:r>
              <w:rPr>
                <w:rFonts w:ascii="Calibri" w:hAnsi="Calibri"/>
                <w:sz w:val="22"/>
              </w:rPr>
              <w:t>+0.8%</w:t>
            </w:r>
          </w:p>
        </w:tc>
        <w:tc>
          <w:tcPr>
            <w:tcW w:type="dxa" w:w="1080"/>
          </w:tcPr>
          <w:p>
            <w:r>
              <w:rPr>
                <w:rFonts w:ascii="Calibri" w:hAnsi="Calibri"/>
                <w:sz w:val="22"/>
              </w:rPr>
              <w:t>-0.2% (consensus slightly below new guidance)</w:t>
            </w:r>
          </w:p>
        </w:tc>
      </w:tr>
      <w:tr>
        <w:tc>
          <w:tcPr>
            <w:tcW w:type="dxa" w:w="1080"/>
          </w:tcPr>
          <w:p>
            <w:r>
              <w:rPr>
                <w:rFonts w:ascii="Calibri" w:hAnsi="Calibri"/>
                <w:sz w:val="22"/>
              </w:rPr>
              <w:t>Total Upstream Capex — FY 2026 ($B)</w:t>
            </w:r>
          </w:p>
        </w:tc>
        <w:tc>
          <w:tcPr>
            <w:tcW w:type="dxa" w:w="1080"/>
          </w:tcPr>
          <w:p>
            <w:r>
              <w:rPr>
                <w:rFonts w:ascii="Calibri" w:hAnsi="Calibri"/>
                <w:sz w:val="22"/>
              </w:rPr>
              <w:t>$2.146B</w:t>
            </w:r>
          </w:p>
        </w:tc>
        <w:tc>
          <w:tcPr>
            <w:tcW w:type="dxa" w:w="1080"/>
          </w:tcPr>
          <w:p>
            <w:r>
              <w:rPr>
                <w:rFonts w:ascii="Calibri" w:hAnsi="Calibri"/>
                <w:sz w:val="22"/>
              </w:rPr>
              <w:t>$2.147B</w:t>
            </w:r>
          </w:p>
        </w:tc>
        <w:tc>
          <w:tcPr>
            <w:tcW w:type="dxa" w:w="1080"/>
          </w:tcPr>
          <w:p>
            <w:r>
              <w:rPr>
                <w:rFonts w:ascii="Calibri" w:hAnsi="Calibri"/>
                <w:sz w:val="22"/>
              </w:rPr>
              <w:t>Flat</w:t>
            </w:r>
          </w:p>
        </w:tc>
        <w:tc>
          <w:tcPr>
            <w:tcW w:type="dxa" w:w="1080"/>
          </w:tcPr>
          <w:p>
            <w:r>
              <w:rPr>
                <w:rFonts w:ascii="Calibri" w:hAnsi="Calibri"/>
                <w:sz w:val="22"/>
              </w:rPr>
              <w:t>$2.10B</w:t>
            </w:r>
          </w:p>
        </w:tc>
        <w:tc>
          <w:tcPr>
            <w:tcW w:type="dxa" w:w="1080"/>
          </w:tcPr>
          <w:p>
            <w:r>
              <w:rPr>
                <w:rFonts w:ascii="Calibri" w:hAnsi="Calibri"/>
                <w:sz w:val="22"/>
              </w:rPr>
              <w:t>$2.07B (↓ slightly lowered)</w:t>
            </w:r>
          </w:p>
        </w:tc>
        <w:tc>
          <w:tcPr>
            <w:tcW w:type="dxa" w:w="1080"/>
          </w:tcPr>
          <w:p>
            <w:r>
              <w:rPr>
                <w:rFonts w:ascii="Calibri" w:hAnsi="Calibri"/>
                <w:sz w:val="22"/>
              </w:rPr>
              <w:t>-1.4%</w:t>
            </w:r>
          </w:p>
        </w:tc>
        <w:tc>
          <w:tcPr>
            <w:tcW w:type="dxa" w:w="1080"/>
          </w:tcPr>
          <w:p>
            <w:r>
              <w:rPr>
                <w:rFonts w:ascii="Calibri" w:hAnsi="Calibri"/>
                <w:sz w:val="22"/>
              </w:rPr>
              <w:t>+3.7% above new guidance (consensus slightly above)</w:t>
            </w:r>
          </w:p>
        </w:tc>
      </w:tr>
    </w:tbl>
    <w:p>
      <w:r>
        <w:rPr>
          <w:rFonts w:ascii="Calibri" w:hAnsi="Calibri"/>
          <w:b/>
          <w:color w:val="525866"/>
          <w:sz w:val="22"/>
        </w:rPr>
        <w:t xml:space="preserve">Commentary: </w:t>
      </w:r>
      <w:r>
        <w:rPr>
          <w:rFonts w:ascii="Calibri" w:hAnsi="Calibri"/>
          <w:color w:val="525866"/>
          <w:sz w:val="22"/>
        </w:rPr>
        <w:t>Estimates drifted lower across EPS and FCF in the ~90 days since the Q1 print, primarily driven by lower commodity price assumptions (oil strip declined) and Egypt PSC volume mechanics at higher Brent. The Q2 beat — particularly on U.S. oil production, LOE, and capex — combined with the raised cost savings target and U.S. oil production guidance, should drive upward revisions to both Q3 and FY 2026 estimates. The FCF baseline as-of-May was inflated by the gas trading portfolio contribution, which has since been partially revised down; the actual Q2 FCF of $738M vs. the $1.1B as-of-May estimate reflects this normalization.</w:t>
      </w:r>
    </w:p>
    <w:p>
      <w:r>
        <w:rPr>
          <w:rFonts w:ascii="Calibri" w:hAnsi="Calibri"/>
          <w:color w:val="525866"/>
          <w:sz w:val="22"/>
        </w:rPr>
        <w:t>Source: Visible Alpha consensus/actuals database; Q1 2026 earnings call (May 7, 2026); APA Q2 2026 earnings release (August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APA has underperformed both XOP (-4.4% vs. XOP -0.5%) and the S&amp;P 500 (+5.2%) since the Q1 2026 earnings date, driven by </w:t>
      </w:r>
      <w:r>
        <w:rPr>
          <w:rFonts w:ascii="Calibri" w:hAnsi="Calibri"/>
          <w:b/>
          <w:color w:val="525866"/>
          <w:sz w:val="22"/>
        </w:rPr>
        <w:t>multiple compression rather than estimate cuts</w:t>
      </w:r>
      <w:r>
        <w:rPr>
          <w:rFonts w:ascii="Calibri" w:hAnsi="Calibri"/>
          <w:color w:val="525866"/>
          <w:sz w:val="22"/>
        </w:rPr>
        <w:t xml:space="preserve"> — the stock de-rated as oil prices weakened and investors discounted Egypt PSC volume mechanics, despite strong operational execution. The stock is trading at a meaningful discount to E&amp;P peers on FCF yield, suggesting the market has not yet credited the structural cost improvements.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APA vs. XOP (E&amp;P Sector ETF) vs. S&amp;P 500 — Indexed to 100 at Q1 2026 Earnings Date (May 7, 2026). Source: Yahoo Finance.</w:t>
      </w:r>
    </w:p>
    <w:p>
      <w:r>
        <w:rPr>
          <w:rFonts w:ascii="Calibri" w:hAnsi="Calibri"/>
          <w:b/>
          <w:color w:val="525866"/>
          <w:sz w:val="22"/>
        </w:rPr>
        <w:t xml:space="preserve">Performance Summary (May 7 – August 6, 2026): </w:t>
      </w:r>
      <w:r>
        <w:rPr>
          <w:rFonts w:ascii="Calibri" w:hAnsi="Calibri"/>
          <w:color w:val="525866"/>
          <w:sz w:val="22"/>
        </w:rPr>
        <w:t>APA: -4.4% ($36.24 → $34.66) | XOP: -0.5% ($166.06 → $165.19) | SPY: +5.2% ($731.58 → $769.79). APA underperformed XOP by ~390bps and the S&amp;P 500 by ~960bps over the period.</w:t>
      </w:r>
    </w:p>
    <w:p>
      <w:pPr>
        <w:pStyle w:val="ListBullet"/>
        <w:ind w:left="360" w:hanging="360"/>
      </w:pPr>
      <w:r>
        <w:rPr>
          <w:rFonts w:ascii="Calibri" w:hAnsi="Calibri"/>
          <w:b/>
          <w:color w:val="525866"/>
          <w:sz w:val="22"/>
        </w:rPr>
        <w:t xml:space="preserve">May 7–19 (Initial Rally): </w:t>
      </w:r>
      <w:r>
        <w:rPr>
          <w:rFonts w:ascii="Calibri" w:hAnsi="Calibri"/>
          <w:color w:val="525866"/>
          <w:sz w:val="22"/>
        </w:rPr>
        <w:t>APA rallied ~13% in the two weeks following the Q1 print as the strong FCF and raised guidance were digested positively, outperforming XOP.</w:t>
      </w:r>
    </w:p>
    <w:p>
      <w:pPr>
        <w:pStyle w:val="ListBullet"/>
        <w:ind w:left="360" w:hanging="360"/>
      </w:pPr>
      <w:r>
        <w:rPr>
          <w:rFonts w:ascii="Calibri" w:hAnsi="Calibri"/>
          <w:b/>
          <w:color w:val="525866"/>
          <w:sz w:val="22"/>
        </w:rPr>
        <w:t xml:space="preserve">Late May – June (Reversal): </w:t>
      </w:r>
      <w:r>
        <w:rPr>
          <w:rFonts w:ascii="Calibri" w:hAnsi="Calibri"/>
          <w:color w:val="525866"/>
          <w:sz w:val="22"/>
        </w:rPr>
        <w:t>APA gave back all gains and more as oil prices weakened and Waha basis remained deeply negative, weighing on U.S. gas volumes and realized prices. The stock fell from ~$41 to ~$33 by late June.</w:t>
      </w:r>
    </w:p>
    <w:p>
      <w:pPr>
        <w:pStyle w:val="ListBullet"/>
        <w:ind w:left="360" w:hanging="360"/>
      </w:pPr>
      <w:r>
        <w:rPr>
          <w:rFonts w:ascii="Calibri" w:hAnsi="Calibri"/>
          <w:b/>
          <w:color w:val="525866"/>
          <w:sz w:val="22"/>
        </w:rPr>
        <w:t xml:space="preserve">July 8 (Supplemental Release): </w:t>
      </w:r>
      <w:r>
        <w:rPr>
          <w:rFonts w:ascii="Calibri" w:hAnsi="Calibri"/>
          <w:color w:val="525866"/>
          <w:sz w:val="22"/>
        </w:rPr>
        <w:t>APA released Q2 supplemental data on July 8, providing preliminary production figures. The stock bounced ~7% from its late-June lows on the data release.</w:t>
      </w:r>
    </w:p>
    <w:p>
      <w:pPr>
        <w:pStyle w:val="ListBullet"/>
        <w:ind w:left="360" w:hanging="360"/>
      </w:pPr>
      <w:r>
        <w:rPr>
          <w:rFonts w:ascii="Calibri" w:hAnsi="Calibri"/>
          <w:b/>
          <w:color w:val="525866"/>
          <w:sz w:val="22"/>
        </w:rPr>
        <w:t xml:space="preserve">Late July (Partial Recovery): </w:t>
      </w:r>
      <w:r>
        <w:rPr>
          <w:rFonts w:ascii="Calibri" w:hAnsi="Calibri"/>
          <w:color w:val="525866"/>
          <w:sz w:val="22"/>
        </w:rPr>
        <w:t>APA recovered to ~$37 by July 31 as oil prices firmed and Waha basis turned positive (confirmed by peers DVN and FANG in their Q2 calls), before pulling back slightly into the Q2 earnings release.</w:t>
      </w:r>
    </w:p>
    <w:p>
      <w:pPr>
        <w:pStyle w:val="ListBullet"/>
        <w:ind w:left="360" w:hanging="360"/>
      </w:pPr>
      <w:r>
        <w:rPr>
          <w:rFonts w:ascii="Calibri" w:hAnsi="Calibri"/>
          <w:b/>
          <w:color w:val="525866"/>
          <w:sz w:val="22"/>
        </w:rPr>
        <w:t xml:space="preserve">August 5–6 (Q2 Release): </w:t>
      </w:r>
      <w:r>
        <w:rPr>
          <w:rFonts w:ascii="Calibri" w:hAnsi="Calibri"/>
          <w:color w:val="525866"/>
          <w:sz w:val="22"/>
        </w:rPr>
        <w:t>Stock declined to $34.66 on August 6 despite the Q2 beat, consistent with the Q1 pattern of sell-on-news as investors focus on forward guidance and Egypt volume trajectory.</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(CVX, XOM, DVN, EOG, FANG) delivered a consistent message of </w:t>
      </w:r>
      <w:r>
        <w:rPr>
          <w:rFonts w:ascii="Calibri" w:hAnsi="Calibri"/>
          <w:b/>
          <w:color w:val="525866"/>
          <w:sz w:val="22"/>
        </w:rPr>
        <w:t>Permian operational outperformance, Waha basis recovery in July, and constructive macro outlook</w:t>
      </w:r>
      <w:r>
        <w:rPr>
          <w:rFonts w:ascii="Calibri" w:hAnsi="Calibri"/>
          <w:color w:val="525866"/>
          <w:sz w:val="22"/>
        </w:rPr>
        <w:t xml:space="preserve"> — all of which are direct read-throughs for APA’s Q2 results and H2 2026 guidance. The most actionable signal is Waha turning positive in July (FANG confirmed), which directly supports APA’s H2 no-curtailment assumption.</w:t>
      </w:r>
    </w:p>
    <w:p>
      <w:r>
        <w:rPr>
          <w:rFonts w:ascii="Calibri" w:hAnsi="Calibri"/>
          <w:b/>
          <w:color w:val="525866"/>
          <w:sz w:val="22"/>
        </w:rPr>
        <w:t xml:space="preserve">Note: </w:t>
      </w:r>
      <w:r>
        <w:rPr>
          <w:rFonts w:ascii="Calibri" w:hAnsi="Calibri"/>
          <w:color w:val="525866"/>
          <w:sz w:val="22"/>
        </w:rPr>
        <w:t>All peer commentaries below are from Q2 2026 earnings calls (reported July 31 – August 5, 2026), covering the same reporting quarter as APA’s Q2 2026. These are current-quarter read-throughs, not prior-quarter commentary.</w:t>
      </w:r>
    </w:p>
    <w:p>
      <w:pPr>
        <w:pStyle w:val="Heading3"/>
      </w:pPr>
      <w:r>
        <w:rPr>
          <w:rFonts w:ascii="Calibri" w:hAnsi="Calibri"/>
          <w:b/>
          <w:color w:val="3B4259"/>
          <w:sz w:val="24"/>
        </w:rPr>
        <w:t>Chevron (CVX) — Q2 2026 Earnings Call (July 31, 2026)</w:t>
      </w:r>
    </w:p>
    <w:p>
      <w:r>
        <w:rPr>
          <w:rFonts w:ascii="Calibri" w:hAnsi="Calibri"/>
          <w:b/>
          <w:color w:val="525866"/>
          <w:sz w:val="22"/>
        </w:rPr>
        <w:t xml:space="preserve">Relevance to APA: </w:t>
      </w:r>
      <w:r>
        <w:rPr>
          <w:rFonts w:ascii="Calibri" w:hAnsi="Calibri"/>
          <w:color w:val="525866"/>
          <w:sz w:val="22"/>
        </w:rPr>
        <w:t>Permian operational efficiency, cost reduction momentum, macro/oil price outlook.</w:t>
      </w:r>
    </w:p>
    <w:p>
      <w:pPr>
        <w:pStyle w:val="ListBullet"/>
        <w:ind w:left="360" w:hanging="360"/>
      </w:pPr>
      <w:r>
        <w:rPr>
          <w:rFonts w:ascii="Calibri" w:hAnsi="Calibri"/>
          <w:b/>
          <w:color w:val="525866"/>
          <w:sz w:val="22"/>
        </w:rPr>
        <w:t xml:space="preserve">Permian at Record Levels: </w:t>
      </w:r>
      <w:r>
        <w:rPr>
          <w:rFonts w:ascii="Calibri" w:hAnsi="Calibri"/>
          <w:color w:val="525866"/>
          <w:sz w:val="22"/>
        </w:rPr>
        <w:t xml:space="preserve">CVX reported Permian production above 1 million bbl/d for the fifth consecutive quarter, with the highest reliability since 2024. CVX is “sweating the assets” — growing free cash flow rather than just production. </w:t>
      </w:r>
      <w:r>
        <w:rPr>
          <w:rFonts w:ascii="Calibri" w:hAnsi="Calibri"/>
          <w:b/>
          <w:color w:val="525866"/>
          <w:sz w:val="22"/>
        </w:rPr>
        <w:t xml:space="preserve">Read-through: </w:t>
      </w:r>
      <w:r>
        <w:rPr>
          <w:rFonts w:ascii="Calibri" w:hAnsi="Calibri"/>
          <w:color w:val="525866"/>
          <w:sz w:val="22"/>
        </w:rPr>
        <w:t>Confirms Permian basin-wide operational efficiency gains are real and durable, supporting APA’s narrative of flat production with fewer rigs and lower capital intensity.</w:t>
      </w:r>
    </w:p>
    <w:p>
      <w:pPr>
        <w:pStyle w:val="ListBullet"/>
        <w:ind w:left="360" w:hanging="360"/>
      </w:pPr>
      <w:r>
        <w:rPr>
          <w:rFonts w:ascii="Calibri" w:hAnsi="Calibri"/>
          <w:b/>
          <w:color w:val="525866"/>
          <w:sz w:val="22"/>
        </w:rPr>
        <w:t xml:space="preserve">25% Less CapEx Per BOE vs. 2025: </w:t>
      </w:r>
      <w:r>
        <w:rPr>
          <w:rFonts w:ascii="Calibri" w:hAnsi="Calibri"/>
          <w:color w:val="525866"/>
          <w:sz w:val="22"/>
        </w:rPr>
        <w:t xml:space="preserve">CVX expects to spend 25% less capex per BOE in 2026 vs. 2025, finishing at the lower end of its $18–$19B guidance range. Permian capital below $3.5B, a 25% improvement in capital efficiency. </w:t>
      </w:r>
      <w:r>
        <w:rPr>
          <w:rFonts w:ascii="Calibri" w:hAnsi="Calibri"/>
          <w:b/>
          <w:color w:val="525866"/>
          <w:sz w:val="22"/>
        </w:rPr>
        <w:t xml:space="preserve">Read-through: </w:t>
      </w:r>
      <w:r>
        <w:rPr>
          <w:rFonts w:ascii="Calibri" w:hAnsi="Calibri"/>
          <w:color w:val="525866"/>
          <w:sz w:val="22"/>
        </w:rPr>
        <w:t>Basin-wide D&amp;C cost deflation is a tailwind for APA’s own capex guidance reduction to $2.07B and the raised cost savings target.</w:t>
      </w:r>
    </w:p>
    <w:p>
      <w:pPr>
        <w:pStyle w:val="ListBullet"/>
        <w:ind w:left="360" w:hanging="360"/>
      </w:pPr>
      <w:r>
        <w:rPr>
          <w:rFonts w:ascii="Calibri" w:hAnsi="Calibri"/>
          <w:b/>
          <w:color w:val="525866"/>
          <w:sz w:val="22"/>
        </w:rPr>
        <w:t xml:space="preserve">Structural Cost Savings Achieved Early: </w:t>
      </w:r>
      <w:r>
        <w:rPr>
          <w:rFonts w:ascii="Calibri" w:hAnsi="Calibri"/>
          <w:color w:val="525866"/>
          <w:sz w:val="22"/>
        </w:rPr>
        <w:t xml:space="preserve">CVX achieved its $3B annual run-rate savings target six months early, with 70%+ from efficiency gains. Hess synergies also delivered six months early. </w:t>
      </w:r>
      <w:r>
        <w:rPr>
          <w:rFonts w:ascii="Calibri" w:hAnsi="Calibri"/>
          <w:b/>
          <w:color w:val="525866"/>
          <w:sz w:val="22"/>
        </w:rPr>
        <w:t xml:space="preserve">Read-through: </w:t>
      </w:r>
      <w:r>
        <w:rPr>
          <w:rFonts w:ascii="Calibri" w:hAnsi="Calibri"/>
          <w:color w:val="525866"/>
          <w:sz w:val="22"/>
        </w:rPr>
        <w:t>Validates APA’s own accelerated cost savings trajectory; the industry is broadly achieving structural cost reductions, not just APA.</w:t>
      </w:r>
    </w:p>
    <w:p>
      <w:pPr>
        <w:pStyle w:val="ListBullet"/>
        <w:ind w:left="360" w:hanging="360"/>
      </w:pPr>
      <w:r>
        <w:rPr>
          <w:rFonts w:ascii="Calibri" w:hAnsi="Calibri"/>
          <w:b/>
          <w:color w:val="525866"/>
          <w:sz w:val="22"/>
        </w:rPr>
        <w:t xml:space="preserve">Constructive Macro: </w:t>
      </w:r>
      <w:r>
        <w:rPr>
          <w:rFonts w:ascii="Calibri" w:hAnsi="Calibri"/>
          <w:color w:val="525866"/>
          <w:sz w:val="22"/>
        </w:rPr>
        <w:t xml:space="preserve">CVX noted products are tighter than crude globally, with middle distillates (diesel) the current tight spot. Demand destruction not obvious at significant scale. AI-driven electricity demand creating structural uplift for energy. </w:t>
      </w:r>
      <w:r>
        <w:rPr>
          <w:rFonts w:ascii="Calibri" w:hAnsi="Calibri"/>
          <w:b/>
          <w:color w:val="525866"/>
          <w:sz w:val="22"/>
        </w:rPr>
        <w:t xml:space="preserve">Read-through: </w:t>
      </w:r>
      <w:r>
        <w:rPr>
          <w:rFonts w:ascii="Calibri" w:hAnsi="Calibri"/>
          <w:color w:val="525866"/>
          <w:sz w:val="22"/>
        </w:rPr>
        <w:t>Supportive commodity price backdrop for APA’s H2 2026 FCF generation.</w:t>
      </w:r>
    </w:p>
    <w:p>
      <w:pPr>
        <w:pStyle w:val="Heading3"/>
      </w:pPr>
      <w:r>
        <w:rPr>
          <w:rFonts w:ascii="Calibri" w:hAnsi="Calibri"/>
          <w:b/>
          <w:color w:val="3B4259"/>
          <w:sz w:val="24"/>
        </w:rPr>
        <w:t>ExxonMobil (XOM) — Q2 2026 Earnings Call (July 31, 2026)</w:t>
      </w:r>
    </w:p>
    <w:p>
      <w:r>
        <w:rPr>
          <w:rFonts w:ascii="Calibri" w:hAnsi="Calibri"/>
          <w:b/>
          <w:color w:val="525866"/>
          <w:sz w:val="22"/>
        </w:rPr>
        <w:t xml:space="preserve">Relevance to APA: </w:t>
      </w:r>
      <w:r>
        <w:rPr>
          <w:rFonts w:ascii="Calibri" w:hAnsi="Calibri"/>
          <w:color w:val="525866"/>
          <w:sz w:val="22"/>
        </w:rPr>
        <w:t>Permian production records, gas market dynamics, cost structure, macro outlook.</w:t>
      </w:r>
    </w:p>
    <w:p>
      <w:pPr>
        <w:pStyle w:val="ListBullet"/>
        <w:ind w:left="360" w:hanging="360"/>
      </w:pPr>
      <w:r>
        <w:rPr>
          <w:rFonts w:ascii="Calibri" w:hAnsi="Calibri"/>
          <w:b/>
          <w:color w:val="525866"/>
          <w:sz w:val="22"/>
        </w:rPr>
        <w:t xml:space="preserve">Permian Record of 1.8M BOE/d: </w:t>
      </w:r>
      <w:r>
        <w:rPr>
          <w:rFonts w:ascii="Calibri" w:hAnsi="Calibri"/>
          <w:color w:val="525866"/>
          <w:sz w:val="22"/>
        </w:rPr>
        <w:t xml:space="preserve">XOM set a new Permian production record of more than 1.8M BOE/d in Q2 2026, with 83 four-mile wells drilled year-to-date. Extended reach laterals and AI/ML driving increased recovery. </w:t>
      </w:r>
      <w:r>
        <w:rPr>
          <w:rFonts w:ascii="Calibri" w:hAnsi="Calibri"/>
          <w:b/>
          <w:color w:val="525866"/>
          <w:sz w:val="22"/>
        </w:rPr>
        <w:t xml:space="preserve">Read-through: </w:t>
      </w:r>
      <w:r>
        <w:rPr>
          <w:rFonts w:ascii="Calibri" w:hAnsi="Calibri"/>
          <w:color w:val="525866"/>
          <w:sz w:val="22"/>
        </w:rPr>
        <w:t>Permian basin productivity continues to improve industry-wide; APA’s Permian efficiency gains are consistent with the broader trend.</w:t>
      </w:r>
    </w:p>
    <w:p>
      <w:pPr>
        <w:pStyle w:val="ListBullet"/>
        <w:ind w:left="360" w:hanging="360"/>
      </w:pPr>
      <w:r>
        <w:rPr>
          <w:rFonts w:ascii="Calibri" w:hAnsi="Calibri"/>
          <w:b/>
          <w:color w:val="525866"/>
          <w:sz w:val="22"/>
        </w:rPr>
        <w:t xml:space="preserve">Gas Market Clearing with New Pipelines: </w:t>
      </w:r>
      <w:r>
        <w:rPr>
          <w:rFonts w:ascii="Calibri" w:hAnsi="Calibri"/>
          <w:color w:val="525866"/>
          <w:sz w:val="22"/>
        </w:rPr>
        <w:t xml:space="preserve">XOM noted that new gas pipelines coming online in the Permian are expected to clear the market, resolving historical disconnects. The primary driver for operators remains maximizing oil production. </w:t>
      </w:r>
      <w:r>
        <w:rPr>
          <w:rFonts w:ascii="Calibri" w:hAnsi="Calibri"/>
          <w:b/>
          <w:color w:val="525866"/>
          <w:sz w:val="22"/>
        </w:rPr>
        <w:t xml:space="preserve">Read-through: </w:t>
      </w:r>
      <w:r>
        <w:rPr>
          <w:rFonts w:ascii="Calibri" w:hAnsi="Calibri"/>
          <w:color w:val="525866"/>
          <w:sz w:val="22"/>
        </w:rPr>
        <w:t>Directly supports APA’s H2 2026 assumption of no Waha curtailments; new takeaway capacity is the structural fix.</w:t>
      </w:r>
    </w:p>
    <w:p>
      <w:pPr>
        <w:pStyle w:val="ListBullet"/>
        <w:ind w:left="360" w:hanging="360"/>
      </w:pPr>
      <w:r>
        <w:rPr>
          <w:rFonts w:ascii="Calibri" w:hAnsi="Calibri"/>
          <w:b/>
          <w:color w:val="525866"/>
          <w:sz w:val="22"/>
        </w:rPr>
        <w:t xml:space="preserve">Holding Cash Costs Flat YoY: </w:t>
      </w:r>
      <w:r>
        <w:rPr>
          <w:rFonts w:ascii="Calibri" w:hAnsi="Calibri"/>
          <w:color w:val="525866"/>
          <w:sz w:val="22"/>
        </w:rPr>
        <w:t xml:space="preserve">Excluding production taxes and energy prices, XOM is holding cash costs flat year-over-year; annualized cash operating expenses comparable to 2019 levels despite significant growth. Cumulative structural savings of $16.3B since 2019. </w:t>
      </w:r>
      <w:r>
        <w:rPr>
          <w:rFonts w:ascii="Calibri" w:hAnsi="Calibri"/>
          <w:b/>
          <w:color w:val="525866"/>
          <w:sz w:val="22"/>
        </w:rPr>
        <w:t xml:space="preserve">Read-through: </w:t>
      </w:r>
      <w:r>
        <w:rPr>
          <w:rFonts w:ascii="Calibri" w:hAnsi="Calibri"/>
          <w:color w:val="525866"/>
          <w:sz w:val="22"/>
        </w:rPr>
        <w:t>Industry-wide cost discipline validates APA’s $500M run-rate savings target as achievable and credible.</w:t>
      </w:r>
    </w:p>
    <w:p>
      <w:pPr>
        <w:pStyle w:val="ListBullet"/>
        <w:ind w:left="360" w:hanging="360"/>
      </w:pPr>
      <w:r>
        <w:rPr>
          <w:rFonts w:ascii="Calibri" w:hAnsi="Calibri"/>
          <w:b/>
          <w:color w:val="525866"/>
          <w:sz w:val="22"/>
        </w:rPr>
        <w:t xml:space="preserve">Refining Margins at Unprecedented Lows of Available Capacity: </w:t>
      </w:r>
      <w:r>
        <w:rPr>
          <w:rFonts w:ascii="Calibri" w:hAnsi="Calibri"/>
          <w:color w:val="525866"/>
          <w:sz w:val="22"/>
        </w:rPr>
        <w:t xml:space="preserve">~3M bbl/d of refining capacity unavailable globally (Hormuz, China, Russia), creating a robust refining market with very high margins expected for an extended period. </w:t>
      </w:r>
      <w:r>
        <w:rPr>
          <w:rFonts w:ascii="Calibri" w:hAnsi="Calibri"/>
          <w:b/>
          <w:color w:val="525866"/>
          <w:sz w:val="22"/>
        </w:rPr>
        <w:t xml:space="preserve">Read-through: </w:t>
      </w:r>
      <w:r>
        <w:rPr>
          <w:rFonts w:ascii="Calibri" w:hAnsi="Calibri"/>
          <w:color w:val="525866"/>
          <w:sz w:val="22"/>
        </w:rPr>
        <w:t>Supportive for oil price realizations in H2 2026, benefiting APA’s FCF generation.</w:t>
      </w:r>
    </w:p>
    <w:p>
      <w:pPr>
        <w:pStyle w:val="Heading3"/>
      </w:pPr>
      <w:r>
        <w:rPr>
          <w:rFonts w:ascii="Calibri" w:hAnsi="Calibri"/>
          <w:b/>
          <w:color w:val="3B4259"/>
          <w:sz w:val="24"/>
        </w:rPr>
        <w:t>Devon Energy (DVN) — Q2 2026 Earnings Call (August 5, 2026)</w:t>
      </w:r>
    </w:p>
    <w:p>
      <w:r>
        <w:rPr>
          <w:rFonts w:ascii="Calibri" w:hAnsi="Calibri"/>
          <w:b/>
          <w:color w:val="525866"/>
          <w:sz w:val="22"/>
        </w:rPr>
        <w:t xml:space="preserve">Relevance to APA: </w:t>
      </w:r>
      <w:r>
        <w:rPr>
          <w:rFonts w:ascii="Calibri" w:hAnsi="Calibri"/>
          <w:color w:val="525866"/>
          <w:sz w:val="22"/>
        </w:rPr>
        <w:t>Permian operations, Waha pricing, D&amp;C costs, capital efficiency, Delaware Basin inventory.</w:t>
      </w:r>
    </w:p>
    <w:p>
      <w:pPr>
        <w:pStyle w:val="ListBullet"/>
        <w:ind w:left="360" w:hanging="360"/>
      </w:pPr>
      <w:r>
        <w:rPr>
          <w:rFonts w:ascii="Calibri" w:hAnsi="Calibri"/>
          <w:b/>
          <w:color w:val="525866"/>
          <w:sz w:val="22"/>
        </w:rPr>
        <w:t xml:space="preserve">Oil Production 1.6% Above Guidance Midpoint: </w:t>
      </w:r>
      <w:r>
        <w:rPr>
          <w:rFonts w:ascii="Calibri" w:hAnsi="Calibri"/>
          <w:color w:val="525866"/>
          <w:sz w:val="22"/>
        </w:rPr>
        <w:t xml:space="preserve">DVN reported Q2 oil production of 503,000 bbl/d, 1.6% above guidance midpoint, with total production reaching the top end of guidance. Capital of $1.3B was 2.4% favorable to guidance midpoint. </w:t>
      </w:r>
      <w:r>
        <w:rPr>
          <w:rFonts w:ascii="Calibri" w:hAnsi="Calibri"/>
          <w:b/>
          <w:color w:val="525866"/>
          <w:sz w:val="22"/>
        </w:rPr>
        <w:t xml:space="preserve">Read-through: </w:t>
      </w:r>
      <w:r>
        <w:rPr>
          <w:rFonts w:ascii="Calibri" w:hAnsi="Calibri"/>
          <w:color w:val="525866"/>
          <w:sz w:val="22"/>
        </w:rPr>
        <w:t>Permian operators are broadly beating production guidance while coming in below capex guidance — consistent with APA’s Q2 pattern of U.S. oil 2,500 bbl/d above guidance with capex below guidance.</w:t>
      </w:r>
    </w:p>
    <w:p>
      <w:pPr>
        <w:pStyle w:val="ListBullet"/>
        <w:ind w:left="360" w:hanging="360"/>
      </w:pPr>
      <w:r>
        <w:rPr>
          <w:rFonts w:ascii="Calibri" w:hAnsi="Calibri"/>
          <w:b/>
          <w:color w:val="525866"/>
          <w:sz w:val="22"/>
        </w:rPr>
        <w:t xml:space="preserve">Waha Turned Positive in July: </w:t>
      </w:r>
      <w:r>
        <w:rPr>
          <w:rFonts w:ascii="Calibri" w:hAnsi="Calibri"/>
          <w:color w:val="525866"/>
          <w:sz w:val="22"/>
        </w:rPr>
        <w:t xml:space="preserve">DVN described Q2 as “a tough quarter on Waha” but noted additional egress capacity coming later in 2026 and H1 2027 via Blackcomb. Over 70% of DVN’s production is “either hedged or down to the coast.” </w:t>
      </w:r>
      <w:r>
        <w:rPr>
          <w:rFonts w:ascii="Calibri" w:hAnsi="Calibri"/>
          <w:b/>
          <w:color w:val="525866"/>
          <w:sz w:val="22"/>
        </w:rPr>
        <w:t xml:space="preserve">Read-through: </w:t>
      </w:r>
      <w:r>
        <w:rPr>
          <w:rFonts w:ascii="Calibri" w:hAnsi="Calibri"/>
          <w:color w:val="525866"/>
          <w:sz w:val="22"/>
        </w:rPr>
        <w:t>Directly validates APA’s Q2 guidance assumption of Waha curtailments through end of Q2 and no curtailments in H2; the structural fix (new pipelines) is on track.</w:t>
      </w:r>
    </w:p>
    <w:p>
      <w:pPr>
        <w:pStyle w:val="ListBullet"/>
        <w:ind w:left="360" w:hanging="360"/>
      </w:pPr>
      <w:r>
        <w:rPr>
          <w:rFonts w:ascii="Calibri" w:hAnsi="Calibri"/>
          <w:b/>
          <w:color w:val="525866"/>
          <w:sz w:val="22"/>
        </w:rPr>
        <w:t xml:space="preserve">D&amp;C Costs at $800/ft, More Synergies Ahead: </w:t>
      </w:r>
      <w:r>
        <w:rPr>
          <w:rFonts w:ascii="Calibri" w:hAnsi="Calibri"/>
          <w:color w:val="525866"/>
          <w:sz w:val="22"/>
        </w:rPr>
        <w:t xml:space="preserve">DVN’s D&amp;C costs are $800/ft, with management noting “even more aggressive cost structure” expected in 2027 as merger synergies flow through. Reinvestment rate improved to 43% of cash flow. </w:t>
      </w:r>
      <w:r>
        <w:rPr>
          <w:rFonts w:ascii="Calibri" w:hAnsi="Calibri"/>
          <w:b/>
          <w:color w:val="525866"/>
          <w:sz w:val="22"/>
        </w:rPr>
        <w:t xml:space="preserve">Read-through: </w:t>
      </w:r>
      <w:r>
        <w:rPr>
          <w:rFonts w:ascii="Calibri" w:hAnsi="Calibri"/>
          <w:color w:val="525866"/>
          <w:sz w:val="22"/>
        </w:rPr>
        <w:t>APA’s Midland Basin costs of $595/ft and Delaware Basin $750/ft compare favorably; the industry cost curve is still moving lower.</w:t>
      </w:r>
    </w:p>
    <w:p>
      <w:pPr>
        <w:pStyle w:val="ListBullet"/>
        <w:ind w:left="360" w:hanging="360"/>
      </w:pPr>
      <w:r>
        <w:rPr>
          <w:rFonts w:ascii="Calibri" w:hAnsi="Calibri"/>
          <w:b/>
          <w:color w:val="525866"/>
          <w:sz w:val="22"/>
        </w:rPr>
        <w:t xml:space="preserve">Delaware Basin Inventory Deepest in Basin: </w:t>
      </w:r>
      <w:r>
        <w:rPr>
          <w:rFonts w:ascii="Calibri" w:hAnsi="Calibri"/>
          <w:color w:val="525866"/>
          <w:sz w:val="22"/>
        </w:rPr>
        <w:t xml:space="preserve">DVN acquired 400 top-tier Delaware Basin locations at the last federal lease sale of this scale, at an effective cost of ~$4M/location. DVN describes its Delaware inventory as “one of the deepest in the basin.” </w:t>
      </w:r>
      <w:r>
        <w:rPr>
          <w:rFonts w:ascii="Calibri" w:hAnsi="Calibri"/>
          <w:b/>
          <w:color w:val="525866"/>
          <w:sz w:val="22"/>
        </w:rPr>
        <w:t xml:space="preserve">Read-through: </w:t>
      </w:r>
      <w:r>
        <w:rPr>
          <w:rFonts w:ascii="Calibri" w:hAnsi="Calibri"/>
          <w:color w:val="525866"/>
          <w:sz w:val="22"/>
        </w:rPr>
        <w:t>Permian inventory quality and depth remain a key differentiator; APA’s ~1,700 economic Permian locations at 10%+ returns is a credible competitive position.</w:t>
      </w:r>
    </w:p>
    <w:p>
      <w:pPr>
        <w:pStyle w:val="ListBullet"/>
        <w:ind w:left="360" w:hanging="360"/>
      </w:pPr>
      <w:r>
        <w:rPr>
          <w:rFonts w:ascii="Calibri" w:hAnsi="Calibri"/>
          <w:b/>
          <w:color w:val="525866"/>
          <w:sz w:val="22"/>
        </w:rPr>
        <w:t xml:space="preserve">AI Optimizing 1,000 Wells in Real-Time: </w:t>
      </w:r>
      <w:r>
        <w:rPr>
          <w:rFonts w:ascii="Calibri" w:hAnsi="Calibri"/>
          <w:color w:val="525866"/>
          <w:sz w:val="22"/>
        </w:rPr>
        <w:t xml:space="preserve">DVN’s closed-loop AI system autonomously optimizes 1,000 wells 24/7, improving production trends and providing a path to lowering corporate decline rates. </w:t>
      </w:r>
      <w:r>
        <w:rPr>
          <w:rFonts w:ascii="Calibri" w:hAnsi="Calibri"/>
          <w:b/>
          <w:color w:val="525866"/>
          <w:sz w:val="22"/>
        </w:rPr>
        <w:t xml:space="preserve">Read-through: </w:t>
      </w:r>
      <w:r>
        <w:rPr>
          <w:rFonts w:ascii="Calibri" w:hAnsi="Calibri"/>
          <w:color w:val="525866"/>
          <w:sz w:val="22"/>
        </w:rPr>
        <w:t>Technology-driven production optimization is becoming a basin-wide competitive dynamic; APA’s LOE uptime projects ($100M in 2026) are directionally aligned.</w:t>
      </w:r>
    </w:p>
    <w:p>
      <w:pPr>
        <w:pStyle w:val="Heading3"/>
      </w:pPr>
      <w:r>
        <w:rPr>
          <w:rFonts w:ascii="Calibri" w:hAnsi="Calibri"/>
          <w:b/>
          <w:color w:val="3B4259"/>
          <w:sz w:val="24"/>
        </w:rPr>
        <w:t>EOG Resources (EOG) — Q2 2026 Earnings Call (August 5, 2026)</w:t>
      </w:r>
    </w:p>
    <w:p>
      <w:r>
        <w:rPr>
          <w:rFonts w:ascii="Calibri" w:hAnsi="Calibri"/>
          <w:b/>
          <w:color w:val="525866"/>
          <w:sz w:val="22"/>
        </w:rPr>
        <w:t xml:space="preserve">Relevance to APA: </w:t>
      </w:r>
      <w:r>
        <w:rPr>
          <w:rFonts w:ascii="Calibri" w:hAnsi="Calibri"/>
          <w:color w:val="525866"/>
          <w:sz w:val="22"/>
        </w:rPr>
        <w:t>Permian D&amp;C efficiency, gas market dynamics, macro outlook, international exploration.</w:t>
      </w:r>
    </w:p>
    <w:p>
      <w:pPr>
        <w:pStyle w:val="ListBullet"/>
        <w:ind w:left="360" w:hanging="360"/>
      </w:pPr>
      <w:r>
        <w:rPr>
          <w:rFonts w:ascii="Calibri" w:hAnsi="Calibri"/>
          <w:b/>
          <w:color w:val="525866"/>
          <w:sz w:val="22"/>
        </w:rPr>
        <w:t xml:space="preserve">Record Adjusted EPS and FCF: </w:t>
      </w:r>
      <w:r>
        <w:rPr>
          <w:rFonts w:ascii="Calibri" w:hAnsi="Calibri"/>
          <w:color w:val="525866"/>
          <w:sz w:val="22"/>
        </w:rPr>
        <w:t xml:space="preserve">EOG reported record adjusted EPS of $5.07 and FCF of $2.8B in Q2 2026, with capital below guidance midpoint. Full-year 2026 guidance unchanged at $6.5B capex with 5% oil growth and 14% total production growth. </w:t>
      </w:r>
      <w:r>
        <w:rPr>
          <w:rFonts w:ascii="Calibri" w:hAnsi="Calibri"/>
          <w:b/>
          <w:color w:val="525866"/>
          <w:sz w:val="22"/>
        </w:rPr>
        <w:t xml:space="preserve">Read-through: </w:t>
      </w:r>
      <w:r>
        <w:rPr>
          <w:rFonts w:ascii="Calibri" w:hAnsi="Calibri"/>
          <w:color w:val="525866"/>
          <w:sz w:val="22"/>
        </w:rPr>
        <w:t>High-quality E&amp;P operators are generating substantial FCF at current prices; APA’s $738M Q2 FCF and $1.2B H1 FCF are consistent with the sector trend.</w:t>
      </w:r>
    </w:p>
    <w:p>
      <w:pPr>
        <w:pStyle w:val="ListBullet"/>
        <w:ind w:left="360" w:hanging="360"/>
      </w:pPr>
      <w:r>
        <w:rPr>
          <w:rFonts w:ascii="Calibri" w:hAnsi="Calibri"/>
          <w:b/>
          <w:color w:val="525866"/>
          <w:sz w:val="22"/>
        </w:rPr>
        <w:t xml:space="preserve">Delaware Basin D&amp;C Costs Below $710/ft: </w:t>
      </w:r>
      <w:r>
        <w:rPr>
          <w:rFonts w:ascii="Calibri" w:hAnsi="Calibri"/>
          <w:color w:val="525866"/>
          <w:sz w:val="22"/>
        </w:rPr>
        <w:t xml:space="preserve">EOG reduced Delaware Basin direct well costs by $15/ft year-to-date, averaging less than $710/ft. Drilling feet per day up 13%, completed lateral feet per day up 5%. </w:t>
      </w:r>
      <w:r>
        <w:rPr>
          <w:rFonts w:ascii="Calibri" w:hAnsi="Calibri"/>
          <w:b/>
          <w:color w:val="525866"/>
          <w:sz w:val="22"/>
        </w:rPr>
        <w:t xml:space="preserve">Read-through: </w:t>
      </w:r>
      <w:r>
        <w:rPr>
          <w:rFonts w:ascii="Calibri" w:hAnsi="Calibri"/>
          <w:color w:val="525866"/>
          <w:sz w:val="22"/>
        </w:rPr>
        <w:t>APA’s Delaware Basin costs of $750/ft are slightly above EOG’s $710/ft, suggesting further room for improvement; the efficiency trend is industry-wide.</w:t>
      </w:r>
    </w:p>
    <w:p>
      <w:pPr>
        <w:pStyle w:val="ListBullet"/>
        <w:ind w:left="360" w:hanging="360"/>
      </w:pPr>
      <w:r>
        <w:rPr>
          <w:rFonts w:ascii="Calibri" w:hAnsi="Calibri"/>
          <w:b/>
          <w:color w:val="525866"/>
          <w:sz w:val="22"/>
        </w:rPr>
        <w:t xml:space="preserve">Gas Market: 4–6 Bcf/d Additional Egress in H2 2026: </w:t>
      </w:r>
      <w:r>
        <w:rPr>
          <w:rFonts w:ascii="Calibri" w:hAnsi="Calibri"/>
          <w:color w:val="525866"/>
          <w:sz w:val="22"/>
        </w:rPr>
        <w:t xml:space="preserve">EOG noted additional egress of 4–6 Bcf/d coming out of the Permian Basin in H2 2026, expected to provide relief on Waha pricing. Processing fees currently “status quo.” Verde pipeline providing $0.50/MCF net back uplift. </w:t>
      </w:r>
      <w:r>
        <w:rPr>
          <w:rFonts w:ascii="Calibri" w:hAnsi="Calibri"/>
          <w:b/>
          <w:color w:val="525866"/>
          <w:sz w:val="22"/>
        </w:rPr>
        <w:t xml:space="preserve">Read-through: </w:t>
      </w:r>
      <w:r>
        <w:rPr>
          <w:rFonts w:ascii="Calibri" w:hAnsi="Calibri"/>
          <w:color w:val="525866"/>
          <w:sz w:val="22"/>
        </w:rPr>
        <w:t>Strongest direct confirmation that the structural Waha fix is on track for H2 2026, directly supporting APA’s no-curtailment H2 assumption.</w:t>
      </w:r>
    </w:p>
    <w:p>
      <w:pPr>
        <w:pStyle w:val="ListBullet"/>
        <w:ind w:left="360" w:hanging="360"/>
      </w:pPr>
      <w:r>
        <w:rPr>
          <w:rFonts w:ascii="Calibri" w:hAnsi="Calibri"/>
          <w:b/>
          <w:color w:val="525866"/>
          <w:sz w:val="22"/>
        </w:rPr>
        <w:t xml:space="preserve">Constructive on Oil: Volatility Skewed to Upside: </w:t>
      </w:r>
      <w:r>
        <w:rPr>
          <w:rFonts w:ascii="Calibri" w:hAnsi="Calibri"/>
          <w:color w:val="525866"/>
          <w:sz w:val="22"/>
        </w:rPr>
        <w:t xml:space="preserve">EOG remains constructive on oil fundamentals: Middle East supply disruptions have reduced commercial inventories and SPRs; reduced demand is temporary rationing, not structural; energy security is driving structurally higher oil demand. Price volatility “likely skewed to the upside.” </w:t>
      </w:r>
      <w:r>
        <w:rPr>
          <w:rFonts w:ascii="Calibri" w:hAnsi="Calibri"/>
          <w:b/>
          <w:color w:val="525866"/>
          <w:sz w:val="22"/>
        </w:rPr>
        <w:t xml:space="preserve">Read-through: </w:t>
      </w:r>
      <w:r>
        <w:rPr>
          <w:rFonts w:ascii="Calibri" w:hAnsi="Calibri"/>
          <w:color w:val="525866"/>
          <w:sz w:val="22"/>
        </w:rPr>
        <w:t>Supportive macro backdrop for APA’s H2 2026 FCF generation and the $2.2B full-year FCF target.</w:t>
      </w:r>
    </w:p>
    <w:p>
      <w:pPr>
        <w:pStyle w:val="ListBullet"/>
        <w:ind w:left="360" w:hanging="360"/>
      </w:pPr>
      <w:r>
        <w:rPr>
          <w:rFonts w:ascii="Calibri" w:hAnsi="Calibri"/>
          <w:b/>
          <w:color w:val="525866"/>
          <w:sz w:val="22"/>
        </w:rPr>
        <w:t xml:space="preserve">UAE Exploration Exceeding Expectations: </w:t>
      </w:r>
      <w:r>
        <w:rPr>
          <w:rFonts w:ascii="Calibri" w:hAnsi="Calibri"/>
          <w:color w:val="525866"/>
          <w:sz w:val="22"/>
        </w:rPr>
        <w:t xml:space="preserve">EOG’s UAE exploration wells produced over 25,000 bbl/oil per well in first 30 days, exceeding expectations. EOG is a first mover in international unconventionals. </w:t>
      </w:r>
      <w:r>
        <w:rPr>
          <w:rFonts w:ascii="Calibri" w:hAnsi="Calibri"/>
          <w:b/>
          <w:color w:val="525866"/>
          <w:sz w:val="22"/>
        </w:rPr>
        <w:t xml:space="preserve">Read-through: </w:t>
      </w:r>
      <w:r>
        <w:rPr>
          <w:rFonts w:ascii="Calibri" w:hAnsi="Calibri"/>
          <w:color w:val="525866"/>
          <w:sz w:val="22"/>
        </w:rPr>
        <w:t>International exploration optionality is being valued by the market; APA’s Suriname GranMorgu (mid-2028 first oil) and new Uruguay/Eni partnership are analogous optionality plays.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earnings call is the </w:t>
      </w:r>
      <w:r>
        <w:rPr>
          <w:rFonts w:ascii="Calibri" w:hAnsi="Calibri"/>
          <w:b/>
          <w:color w:val="525866"/>
          <w:sz w:val="22"/>
        </w:rPr>
        <w:t>Savant Alaska acquisition and Uruguay/Eni partnership</w:t>
      </w:r>
      <w:r>
        <w:rPr>
          <w:rFonts w:ascii="Calibri" w:hAnsi="Calibri"/>
          <w:color w:val="525866"/>
          <w:sz w:val="22"/>
        </w:rPr>
        <w:t>, which meaningfully expand APA’s exploration optionality at low cost — combined with the Q2 supplemental release in July that provided early visibility into production performance, these developments set a constructive tone heading into the earnings call.</w:t>
      </w:r>
    </w:p>
    <w:p>
      <w:pPr>
        <w:pStyle w:val="ListBullet"/>
        <w:ind w:left="360" w:hanging="360"/>
      </w:pPr>
      <w:r>
        <w:rPr>
          <w:rFonts w:ascii="Calibri" w:hAnsi="Calibri"/>
          <w:b/>
          <w:color w:val="525866"/>
          <w:sz w:val="22"/>
        </w:rPr>
        <w:t xml:space="preserve">August 5, 2026 — Q2 2026 Earnings Release: </w:t>
      </w:r>
      <w:r>
        <w:rPr>
          <w:rFonts w:ascii="Calibri" w:hAnsi="Calibri"/>
          <w:color w:val="525866"/>
          <w:sz w:val="22"/>
        </w:rPr>
        <w:t xml:space="preserve">APA reported Q2 adjusted EPS of $1.89 (beat), FCF of $738M (beat), U.S. oil production 2,500 bbl/d above guidance, capex and LOE both below guidance. Raised exit run-rate cost savings target to $500M from $450M. Raised FY 2026 U.S. oil production guidance to 123,000 bbl/d. Lowered LOE guidance by $25M to $1.5B. Implication: </w:t>
      </w:r>
      <w:r>
        <w:rPr>
          <w:rFonts w:ascii="Calibri" w:hAnsi="Calibri"/>
          <w:color w:val="525866"/>
          <w:sz w:val="22"/>
        </w:rPr>
        <w:t>Clean beat across all major metrics; raised guidance on cost savings and production; should drive upward estimate revisions.</w:t>
      </w:r>
    </w:p>
    <w:p>
      <w:pPr>
        <w:pStyle w:val="ListBullet"/>
        <w:ind w:left="360" w:hanging="360"/>
      </w:pPr>
      <w:r>
        <w:rPr>
          <w:rFonts w:ascii="Calibri" w:hAnsi="Calibri"/>
          <w:b/>
          <w:color w:val="525866"/>
          <w:sz w:val="22"/>
        </w:rPr>
        <w:t xml:space="preserve">August 5, 2026 — Savant Alaska Acquisition Announced: </w:t>
      </w:r>
      <w:r>
        <w:rPr>
          <w:rFonts w:ascii="Calibri" w:hAnsi="Calibri"/>
          <w:color w:val="525866"/>
          <w:sz w:val="22"/>
        </w:rPr>
        <w:t xml:space="preserve">APA announced agreement to acquire Savant Alaska, LLC for $70M upfront plus contingent payments tied to future development of APA’s eastern North Slope position. Savant owns key midstream, pipeline, and field infrastructure adjacent to APA’s existing acreage. Expected to enhance development flexibility, accelerate project timelines, and lower future development costs. Implication: </w:t>
      </w:r>
      <w:r>
        <w:rPr>
          <w:rFonts w:ascii="Calibri" w:hAnsi="Calibri"/>
          <w:color w:val="525866"/>
          <w:sz w:val="22"/>
        </w:rPr>
        <w:t>Low-cost infrastructure acquisition that de-risks and accelerates the Alaska exploration program; APA previously completed seismic reprocessing indicating the original Sockeye well was not drilled in the thickest part of the structure, and is returning with a two-well program.</w:t>
      </w:r>
    </w:p>
    <w:p>
      <w:pPr>
        <w:pStyle w:val="ListBullet"/>
        <w:ind w:left="360" w:hanging="360"/>
      </w:pPr>
      <w:r>
        <w:rPr>
          <w:rFonts w:ascii="Calibri" w:hAnsi="Calibri"/>
          <w:b/>
          <w:color w:val="525866"/>
          <w:sz w:val="22"/>
        </w:rPr>
        <w:t xml:space="preserve">August 5, 2026 — Uruguay/Eni Strategic Partnership: </w:t>
      </w:r>
      <w:r>
        <w:rPr>
          <w:rFonts w:ascii="Calibri" w:hAnsi="Calibri"/>
          <w:color w:val="525866"/>
          <w:sz w:val="22"/>
        </w:rPr>
        <w:t xml:space="preserve">APA signed agreement with Eni S.p.A as strategic partner in offshore Block 6 in Uruguay. APA retains 60% working interest; Eni funds most of the initial exploration well planned for 2027. Implication: </w:t>
      </w:r>
      <w:r>
        <w:rPr>
          <w:rFonts w:ascii="Calibri" w:hAnsi="Calibri"/>
          <w:color w:val="525866"/>
          <w:sz w:val="22"/>
        </w:rPr>
        <w:t>Adds a new exploration frontier at minimal cost to APA; Eni’s funding of the initial well limits APA’s capital exposure while retaining majority upside.</w:t>
      </w:r>
    </w:p>
    <w:p>
      <w:pPr>
        <w:pStyle w:val="ListBullet"/>
        <w:ind w:left="360" w:hanging="360"/>
      </w:pPr>
      <w:r>
        <w:rPr>
          <w:rFonts w:ascii="Calibri" w:hAnsi="Calibri"/>
          <w:b/>
          <w:color w:val="525866"/>
          <w:sz w:val="22"/>
        </w:rPr>
        <w:t xml:space="preserve">July 8, 2026 — Q2 2026 Supplemental Data Release: </w:t>
      </w:r>
      <w:r>
        <w:rPr>
          <w:rFonts w:ascii="Calibri" w:hAnsi="Calibri"/>
          <w:color w:val="525866"/>
          <w:sz w:val="22"/>
        </w:rPr>
        <w:t xml:space="preserve">APA released Q2 supplemental financial and operational data ahead of the full earnings release, providing early visibility into production volumes and financial metrics. Conference call scheduled for August 6. Implication: </w:t>
      </w:r>
      <w:r>
        <w:rPr>
          <w:rFonts w:ascii="Calibri" w:hAnsi="Calibri"/>
          <w:color w:val="525866"/>
          <w:sz w:val="22"/>
        </w:rPr>
        <w:t>Provided the market with preliminary production data; the stock bounced ~7% from late-June lows on the release, suggesting the data was better than feared.</w:t>
      </w:r>
    </w:p>
    <w:p>
      <w:pPr>
        <w:pStyle w:val="ListBullet"/>
        <w:ind w:left="360" w:hanging="360"/>
      </w:pPr>
      <w:r>
        <w:rPr>
          <w:rFonts w:ascii="Calibri" w:hAnsi="Calibri"/>
          <w:b/>
          <w:color w:val="525866"/>
          <w:sz w:val="22"/>
        </w:rPr>
        <w:t xml:space="preserve">May 7, 2026 — Q1 2026 Earnings Call: Key Guidance Updates: </w:t>
      </w:r>
      <w:r>
        <w:rPr>
          <w:rFonts w:ascii="Calibri" w:hAnsi="Calibri"/>
          <w:color w:val="525866"/>
          <w:sz w:val="22"/>
        </w:rPr>
        <w:t xml:space="preserve">APA raised FY 2026 U.S. oil production guidance to 122,000 bbl/d; held upstream capex at $2.1B; raised gas trading portfolio pretax cash flow guidance to ~$1.1B; guided FCF of ~$2.2B for FY 2026; raised decommissioning spend by $20M; confirmed $450M run-rate savings target on track. Waha curtailments guided through end of Q2 with no curtailments assumed in H2. Implication: </w:t>
      </w:r>
      <w:r>
        <w:rPr>
          <w:rFonts w:ascii="Calibri" w:hAnsi="Calibri"/>
          <w:color w:val="525866"/>
          <w:sz w:val="22"/>
        </w:rPr>
        <w:t>Established the baseline for Q2 guidance; the Q2 release has now exceeded or matched all key Q1 call guidance items.</w:t>
      </w:r>
    </w:p>
    <w:p>
      <w:pPr>
        <w:pStyle w:val="ListBullet"/>
        <w:ind w:left="360" w:hanging="360"/>
      </w:pPr>
      <w:r>
        <w:rPr>
          <w:rFonts w:ascii="Calibri" w:hAnsi="Calibri"/>
          <w:b/>
          <w:color w:val="525866"/>
          <w:sz w:val="22"/>
        </w:rPr>
        <w:t xml:space="preserve">Q2 2026 — Waha Basis Recovery (Peer Confirmation): </w:t>
      </w:r>
      <w:r>
        <w:rPr>
          <w:rFonts w:ascii="Calibri" w:hAnsi="Calibri"/>
          <w:color w:val="525866"/>
          <w:sz w:val="22"/>
        </w:rPr>
        <w:t xml:space="preserve">Diamondback Energy (FANG) confirmed on August 4 that Waha pricing has been positive for the entire month of July, driven by new pipeline capacity coming online. Devon Energy (DVN) confirmed additional egress via Blackcomb coming in H2 2026 and H1 2027. EOG confirmed 4–6 Bcf/d of additional egress in H2 2026. Implication: </w:t>
      </w:r>
      <w:r>
        <w:rPr>
          <w:rFonts w:ascii="Calibri" w:hAnsi="Calibri"/>
          <w:color w:val="525866"/>
          <w:sz w:val="22"/>
        </w:rPr>
        <w:t>Directly validates APA’s H2 2026 no-curtailment assumption; U.S. gas volumes and realized prices should improve materially in Q3 vs. Q2.</w:t>
      </w:r>
    </w:p>
    <w:p>
      <w:pPr>
        <w:pStyle w:val="ListBullet"/>
        <w:ind w:left="360" w:hanging="360"/>
      </w:pPr>
      <w:r>
        <w:rPr>
          <w:rFonts w:ascii="Calibri" w:hAnsi="Calibri"/>
          <w:b/>
          <w:color w:val="525866"/>
          <w:sz w:val="22"/>
        </w:rPr>
        <w:t xml:space="preserve">Q2 2026 — Egypt Gas Program Momentum: </w:t>
      </w:r>
      <w:r>
        <w:rPr>
          <w:rFonts w:ascii="Calibri" w:hAnsi="Calibri"/>
          <w:color w:val="525866"/>
          <w:sz w:val="22"/>
        </w:rPr>
        <w:t xml:space="preserve">Gross Egypt gas production increased to 539 MMCF/d in Q2 2026, supported by the gas-focused development program. Nearly half of Egypt’s gas production is now benefiting from the revised pricing agreement (average $4.25/MCF, with marginal price on new gas higher). Implication: </w:t>
      </w:r>
      <w:r>
        <w:rPr>
          <w:rFonts w:ascii="Calibri" w:hAnsi="Calibri"/>
          <w:color w:val="525866"/>
          <w:sz w:val="22"/>
        </w:rPr>
        <w:t>Egypt gas is becoming a more significant earnings contributor; the revised pricing agreement at parity with mid-cycle Brent economics is a structural positive.</w:t>
      </w:r>
    </w:p>
    <w:p>
      <w:pPr>
        <w:pStyle w:val="ListBullet"/>
        <w:ind w:left="360" w:hanging="360"/>
      </w:pPr>
      <w:r>
        <w:rPr>
          <w:rFonts w:ascii="Calibri" w:hAnsi="Calibri"/>
          <w:b/>
          <w:color w:val="525866"/>
          <w:sz w:val="22"/>
        </w:rPr>
        <w:t xml:space="preserve">Q2 2026 — Balance Sheet Strengthening: </w:t>
      </w:r>
      <w:r>
        <w:rPr>
          <w:rFonts w:ascii="Calibri" w:hAnsi="Calibri"/>
          <w:color w:val="525866"/>
          <w:sz w:val="22"/>
        </w:rPr>
        <w:t xml:space="preserve">APA repaid $752M of near-term bond debt in H1 2026 ($673M in Q2 alone). Total debt has declined by $2.3B since year-end 2024, lowering annualized interest expense by more than $155M. Net debt at $3.3B at end of Q2, approaching the $3.0B target. Next debt maturity is late 2029. Implication: </w:t>
      </w:r>
      <w:r>
        <w:rPr>
          <w:rFonts w:ascii="Calibri" w:hAnsi="Calibri"/>
          <w:color w:val="525866"/>
          <w:sz w:val="22"/>
        </w:rPr>
        <w:t>Balance sheet is rapidly approaching the $3B net debt target; with no near-term maturities, APA has significant financial flexibility for capital returns and exploration investment.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earnings call is dominated by routine director stock awards (Form 4 code ‘A’) and one small discretionary sale by an EVP — </w:t>
      </w:r>
      <w:r>
        <w:rPr>
          <w:rFonts w:ascii="Calibri" w:hAnsi="Calibri"/>
          <w:b/>
          <w:color w:val="525866"/>
          <w:sz w:val="22"/>
        </w:rPr>
        <w:t>no open-market buys or large discretionary sales</w:t>
      </w:r>
      <w:r>
        <w:rPr>
          <w:rFonts w:ascii="Calibri" w:hAnsi="Calibri"/>
          <w:color w:val="525866"/>
          <w:sz w:val="22"/>
        </w:rPr>
        <w:t xml:space="preserve"> that would signal strong conviction in either direction. The absence of open-market buying by executives at current depressed price levels is notable but not alarming given the 10b5-1 plan context for several directors.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Maddox, Mark D.</w:t>
            </w:r>
          </w:p>
        </w:tc>
        <w:tc>
          <w:tcPr>
            <w:tcW w:type="dxa" w:w="1440"/>
          </w:tcPr>
          <w:p>
            <w:r>
              <w:rPr>
                <w:rFonts w:ascii="Calibri" w:hAnsi="Calibri"/>
                <w:sz w:val="22"/>
              </w:rPr>
              <w:t>EVP — Administration</w:t>
            </w:r>
          </w:p>
        </w:tc>
        <w:tc>
          <w:tcPr>
            <w:tcW w:type="dxa" w:w="1440"/>
          </w:tcPr>
          <w:p>
            <w:r>
              <w:rPr>
                <w:rFonts w:ascii="Calibri" w:hAnsi="Calibri"/>
                <w:sz w:val="22"/>
              </w:rPr>
              <w:t>Open Market Sale (Code S)</w:t>
            </w:r>
          </w:p>
        </w:tc>
        <w:tc>
          <w:tcPr>
            <w:tcW w:type="dxa" w:w="1440"/>
          </w:tcPr>
          <w:p>
            <w:r>
              <w:rPr>
                <w:rFonts w:ascii="Calibri" w:hAnsi="Calibri"/>
                <w:sz w:val="22"/>
              </w:rPr>
              <w:t>9,800 shares</w:t>
            </w:r>
          </w:p>
        </w:tc>
        <w:tc>
          <w:tcPr>
            <w:tcW w:type="dxa" w:w="1440"/>
          </w:tcPr>
          <w:p>
            <w:r>
              <w:rPr>
                <w:rFonts w:ascii="Calibri" w:hAnsi="Calibri"/>
                <w:sz w:val="22"/>
              </w:rPr>
              <w:t>May 20, 2026</w:t>
            </w:r>
          </w:p>
        </w:tc>
        <w:tc>
          <w:tcPr>
            <w:tcW w:type="dxa" w:w="1440"/>
          </w:tcPr>
          <w:p>
            <w:r>
              <w:rPr>
                <w:rFonts w:ascii="Calibri" w:hAnsi="Calibri"/>
                <w:sz w:val="22"/>
              </w:rPr>
              <w:t>Discretionary sale; no 10b5-1 plan indicated. Sold at ~$38–40 range (stock was ~$39–40 in mid-May). Modest size relative to 66,810 shares owned post-transaction.</w:t>
            </w:r>
          </w:p>
        </w:tc>
      </w:tr>
      <w:tr>
        <w:tc>
          <w:tcPr>
            <w:tcW w:type="dxa" w:w="1440"/>
          </w:tcPr>
          <w:p>
            <w:r>
              <w:rPr>
                <w:rFonts w:ascii="Calibri" w:hAnsi="Calibri"/>
                <w:sz w:val="22"/>
              </w:rPr>
              <w:t>Henderson, Tracey K.</w:t>
            </w:r>
          </w:p>
        </w:tc>
        <w:tc>
          <w:tcPr>
            <w:tcW w:type="dxa" w:w="1440"/>
          </w:tcPr>
          <w:p>
            <w:r>
              <w:rPr>
                <w:rFonts w:ascii="Calibri" w:hAnsi="Calibri"/>
                <w:sz w:val="22"/>
              </w:rPr>
              <w:t>EVP — Exploration</w:t>
            </w:r>
          </w:p>
        </w:tc>
        <w:tc>
          <w:tcPr>
            <w:tcW w:type="dxa" w:w="1440"/>
          </w:tcPr>
          <w:p>
            <w:r>
              <w:rPr>
                <w:rFonts w:ascii="Calibri" w:hAnsi="Calibri"/>
                <w:sz w:val="22"/>
              </w:rPr>
              <w:t>Tax Withholding (Code F)</w:t>
            </w:r>
          </w:p>
        </w:tc>
        <w:tc>
          <w:tcPr>
            <w:tcW w:type="dxa" w:w="1440"/>
          </w:tcPr>
          <w:p>
            <w:r>
              <w:rPr>
                <w:rFonts w:ascii="Calibri" w:hAnsi="Calibri"/>
                <w:sz w:val="22"/>
              </w:rPr>
              <w:t>1,968 shares</w:t>
            </w:r>
          </w:p>
        </w:tc>
        <w:tc>
          <w:tcPr>
            <w:tcW w:type="dxa" w:w="1440"/>
          </w:tcPr>
          <w:p>
            <w:r>
              <w:rPr>
                <w:rFonts w:ascii="Calibri" w:hAnsi="Calibri"/>
                <w:sz w:val="22"/>
              </w:rPr>
              <w:t>May 26, 2026</w:t>
            </w:r>
          </w:p>
        </w:tc>
        <w:tc>
          <w:tcPr>
            <w:tcW w:type="dxa" w:w="1440"/>
          </w:tcPr>
          <w:p>
            <w:r>
              <w:rPr>
                <w:rFonts w:ascii="Calibri" w:hAnsi="Calibri"/>
                <w:sz w:val="22"/>
              </w:rPr>
              <w:t>Shares withheld for tax obligation on vesting; not a discretionary sale. Routine.</w:t>
            </w:r>
          </w:p>
        </w:tc>
      </w:tr>
      <w:tr>
        <w:tc>
          <w:tcPr>
            <w:tcW w:type="dxa" w:w="1440"/>
          </w:tcPr>
          <w:p>
            <w:r>
              <w:rPr>
                <w:rFonts w:ascii="Calibri" w:hAnsi="Calibri"/>
                <w:sz w:val="22"/>
              </w:rPr>
              <w:t>Bay, Annell R.</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 10b5-1 plan in place.</w:t>
            </w:r>
          </w:p>
        </w:tc>
      </w:tr>
      <w:tr>
        <w:tc>
          <w:tcPr>
            <w:tcW w:type="dxa" w:w="1440"/>
          </w:tcPr>
          <w:p>
            <w:r>
              <w:rPr>
                <w:rFonts w:ascii="Calibri" w:hAnsi="Calibri"/>
                <w:sz w:val="22"/>
              </w:rPr>
              <w:t>Ellis, Juliet S.</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w:t>
            </w:r>
          </w:p>
        </w:tc>
      </w:tr>
      <w:tr>
        <w:tc>
          <w:tcPr>
            <w:tcW w:type="dxa" w:w="1440"/>
          </w:tcPr>
          <w:p>
            <w:r>
              <w:rPr>
                <w:rFonts w:ascii="Calibri" w:hAnsi="Calibri"/>
                <w:sz w:val="22"/>
              </w:rPr>
              <w:t>Fisher, Kenneth M.</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 10b5-1 plan in place.</w:t>
            </w:r>
          </w:p>
        </w:tc>
      </w:tr>
      <w:tr>
        <w:tc>
          <w:tcPr>
            <w:tcW w:type="dxa" w:w="1440"/>
          </w:tcPr>
          <w:p>
            <w:r>
              <w:rPr>
                <w:rFonts w:ascii="Calibri" w:hAnsi="Calibri"/>
                <w:sz w:val="22"/>
              </w:rPr>
              <w:t>Hooper, Charles W.</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 10b5-1 plan in place.</w:t>
            </w:r>
          </w:p>
        </w:tc>
      </w:tr>
      <w:tr>
        <w:tc>
          <w:tcPr>
            <w:tcW w:type="dxa" w:w="1440"/>
          </w:tcPr>
          <w:p>
            <w:r>
              <w:rPr>
                <w:rFonts w:ascii="Calibri" w:hAnsi="Calibri"/>
                <w:sz w:val="22"/>
              </w:rPr>
              <w:t>Joung, Chansoo</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 10b5-1 plan in place.</w:t>
            </w:r>
          </w:p>
        </w:tc>
      </w:tr>
      <w:tr>
        <w:tc>
          <w:tcPr>
            <w:tcW w:type="dxa" w:w="1440"/>
          </w:tcPr>
          <w:p>
            <w:r>
              <w:rPr>
                <w:rFonts w:ascii="Calibri" w:hAnsi="Calibri"/>
                <w:sz w:val="22"/>
              </w:rPr>
              <w:t>McKay, Lamar</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2,302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(larger grant, likely reflects board chair or committee role); not a market purchase. 10b5-1 plan in place.</w:t>
            </w:r>
          </w:p>
        </w:tc>
      </w:tr>
      <w:tr>
        <w:tc>
          <w:tcPr>
            <w:tcW w:type="dxa" w:w="1440"/>
          </w:tcPr>
          <w:p>
            <w:r>
              <w:rPr>
                <w:rFonts w:ascii="Calibri" w:hAnsi="Calibri"/>
                <w:sz w:val="22"/>
              </w:rPr>
              <w:t>Ragauss, Peter A.</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w:t>
            </w:r>
          </w:p>
        </w:tc>
      </w:tr>
      <w:tr>
        <w:tc>
          <w:tcPr>
            <w:tcW w:type="dxa" w:w="1440"/>
          </w:tcPr>
          <w:p>
            <w:r>
              <w:rPr>
                <w:rFonts w:ascii="Calibri" w:hAnsi="Calibri"/>
                <w:sz w:val="22"/>
              </w:rPr>
              <w:t>Stover, David L.</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w:t>
            </w:r>
          </w:p>
        </w:tc>
      </w:tr>
      <w:tr>
        <w:tc>
          <w:tcPr>
            <w:tcW w:type="dxa" w:w="1440"/>
          </w:tcPr>
          <w:p>
            <w:r>
              <w:rPr>
                <w:rFonts w:ascii="Calibri" w:hAnsi="Calibri"/>
                <w:sz w:val="22"/>
              </w:rPr>
              <w:t>Weaving, Anya</w:t>
            </w:r>
          </w:p>
        </w:tc>
        <w:tc>
          <w:tcPr>
            <w:tcW w:type="dxa" w:w="1440"/>
          </w:tcPr>
          <w:p>
            <w:r>
              <w:rPr>
                <w:rFonts w:ascii="Calibri" w:hAnsi="Calibri"/>
                <w:sz w:val="22"/>
              </w:rPr>
              <w:t>Director</w:t>
            </w:r>
          </w:p>
        </w:tc>
        <w:tc>
          <w:tcPr>
            <w:tcW w:type="dxa" w:w="1440"/>
          </w:tcPr>
          <w:p>
            <w:r>
              <w:rPr>
                <w:rFonts w:ascii="Calibri" w:hAnsi="Calibri"/>
                <w:sz w:val="22"/>
              </w:rPr>
              <w:t>Stock Award (Code A)</w:t>
            </w:r>
          </w:p>
        </w:tc>
        <w:tc>
          <w:tcPr>
            <w:tcW w:type="dxa" w:w="1440"/>
          </w:tcPr>
          <w:p>
            <w:r>
              <w:rPr>
                <w:rFonts w:ascii="Calibri" w:hAnsi="Calibri"/>
                <w:sz w:val="22"/>
              </w:rPr>
              <w:t>1,535 shares</w:t>
            </w:r>
          </w:p>
        </w:tc>
        <w:tc>
          <w:tcPr>
            <w:tcW w:type="dxa" w:w="1440"/>
          </w:tcPr>
          <w:p>
            <w:r>
              <w:rPr>
                <w:rFonts w:ascii="Calibri" w:hAnsi="Calibri"/>
                <w:sz w:val="22"/>
              </w:rPr>
              <w:t>June 30, 2026</w:t>
            </w:r>
          </w:p>
        </w:tc>
        <w:tc>
          <w:tcPr>
            <w:tcW w:type="dxa" w:w="1440"/>
          </w:tcPr>
          <w:p>
            <w:r>
              <w:rPr>
                <w:rFonts w:ascii="Calibri" w:hAnsi="Calibri"/>
                <w:sz w:val="22"/>
              </w:rPr>
              <w:t>Routine annual director equity award; not a market purchase.</w:t>
            </w:r>
          </w:p>
        </w:tc>
      </w:tr>
    </w:tbl>
    <w:p>
      <w:r>
        <w:rPr>
          <w:rFonts w:ascii="Calibri" w:hAnsi="Calibri"/>
          <w:b/>
          <w:color w:val="525866"/>
          <w:sz w:val="22"/>
        </w:rPr>
        <w:t xml:space="preserve">Assessment: </w:t>
      </w:r>
      <w:r>
        <w:rPr>
          <w:rFonts w:ascii="Calibri" w:hAnsi="Calibri"/>
          <w:color w:val="525866"/>
          <w:sz w:val="22"/>
        </w:rPr>
        <w:t>The only open-market transaction is EVP Mark Maddox’s sale of 9,800 shares on May 20, 2026 — a modest discretionary sale at what turned out to be near the post-Q1 high (~$39–40). This is not a large or clustered sale and does not represent a meaningful insider signal. All other transactions are routine director stock awards (Code A) or tax withholding (Code F), neither of which reflects discretionary conviction. The absence of any open-market buying by executives at the current ~$34–36 price level — well below the 52-week high — is notable but not unusual given blackout periods and 10b5-1 plan constraints.</w:t>
      </w:r>
    </w:p>
    <w:p>
      <w:r>
        <w:rPr>
          <w:rFonts w:ascii="Calibri" w:hAnsi="Calibri"/>
          <w:color w:val="525866"/>
          <w:sz w:val="22"/>
        </w:rPr>
        <w:t>Source: SEC Form 4 filings via Insider Transaction Data (May 7 – August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