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APA Corporation (APA) — Q2 2026 Results Call Prep</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APA Corporation (Nasdaq: APA)</w:t>
            </w:r>
          </w:p>
        </w:tc>
      </w:tr>
      <w:tr>
        <w:tc>
          <w:tcPr>
            <w:tcW w:type="dxa" w:w="4320"/>
          </w:tcPr>
          <w:p>
            <w:r>
              <w:rPr>
                <w:rFonts w:ascii="Calibri" w:hAnsi="Calibri"/>
                <w:b/>
                <w:sz w:val="22"/>
              </w:rPr>
              <w:t>Results Released</w:t>
            </w:r>
          </w:p>
        </w:tc>
        <w:tc>
          <w:tcPr>
            <w:tcW w:type="dxa" w:w="4320"/>
          </w:tcPr>
          <w:p>
            <w:r>
              <w:rPr>
                <w:rFonts w:ascii="Calibri" w:hAnsi="Calibri"/>
                <w:sz w:val="22"/>
              </w:rPr>
              <w:t>August 5, 2026 (after market)</w:t>
            </w:r>
          </w:p>
        </w:tc>
      </w:tr>
      <w:tr>
        <w:tc>
          <w:tcPr>
            <w:tcW w:type="dxa" w:w="4320"/>
          </w:tcPr>
          <w:p>
            <w:r>
              <w:rPr>
                <w:rFonts w:ascii="Calibri" w:hAnsi="Calibri"/>
                <w:b/>
                <w:sz w:val="22"/>
              </w:rPr>
              <w:t>Earnings Call</w:t>
            </w:r>
          </w:p>
        </w:tc>
        <w:tc>
          <w:tcPr>
            <w:tcW w:type="dxa" w:w="4320"/>
          </w:tcPr>
          <w:p>
            <w:r>
              <w:rPr>
                <w:rFonts w:ascii="Calibri" w:hAnsi="Calibri"/>
                <w:sz w:val="22"/>
              </w:rPr>
              <w:t>August 6, 2026 — 10:00 a.m. CT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Document Prepared</w:t>
            </w:r>
          </w:p>
        </w:tc>
        <w:tc>
          <w:tcPr>
            <w:tcW w:type="dxa" w:w="4320"/>
          </w:tcPr>
          <w:p>
            <w:r>
              <w:rPr>
                <w:rFonts w:ascii="Calibri" w:hAnsi="Calibri"/>
                <w:sz w:val="22"/>
              </w:rPr>
              <w:t>August 5, 2026</w:t>
            </w:r>
          </w:p>
        </w:tc>
      </w:tr>
      <w:tr>
        <w:tc>
          <w:tcPr>
            <w:tcW w:type="dxa" w:w="4320"/>
          </w:tcPr>
          <w:p>
            <w:r>
              <w:rPr>
                <w:rFonts w:ascii="Calibri" w:hAnsi="Calibri"/>
                <w:b/>
                <w:sz w:val="22"/>
              </w:rPr>
              <w:t>Document Purpose</w:t>
            </w:r>
          </w:p>
        </w:tc>
        <w:tc>
          <w:tcPr>
            <w:tcW w:type="dxa" w:w="4320"/>
          </w:tcPr>
          <w:p>
            <w:r>
              <w:rPr>
                <w:rFonts w:ascii="Calibri" w:hAnsi="Calibri"/>
                <w:sz w:val="22"/>
              </w:rPr>
              <w:t>Call-prep note — results are public; call is tomorrow</w:t>
            </w:r>
          </w:p>
        </w:tc>
      </w:tr>
    </w:tbl>
    <w:p>
      <w:r>
        <w:rPr>
          <w:rFonts w:ascii="Calibri" w:hAnsi="Calibri"/>
          <w:b/>
          <w:color w:val="525866"/>
          <w:sz w:val="22"/>
        </w:rPr>
        <w:t xml:space="preserve">⚠ Timing Note: </w:t>
      </w:r>
      <w:r>
        <w:rPr>
          <w:rFonts w:ascii="Calibri" w:hAnsi="Calibri"/>
          <w:color w:val="525866"/>
          <w:sz w:val="22"/>
        </w:rPr>
        <w:t xml:space="preserve">APA publicly disclosed Q2 2026 financial and operational results on August 5, 2026 via 8-K/press release. The management conference call is scheduled for </w:t>
      </w:r>
      <w:r>
        <w:rPr>
          <w:rFonts w:ascii="Calibri" w:hAnsi="Calibri"/>
          <w:b/>
          <w:color w:val="525866"/>
          <w:sz w:val="22"/>
        </w:rPr>
        <w:t>August 6, 2026 at 10:00 a.m. CT</w:t>
      </w:r>
      <w:r>
        <w:rPr>
          <w:rFonts w:ascii="Calibri" w:hAnsi="Calibri"/>
          <w:color w:val="525866"/>
          <w:sz w:val="22"/>
        </w:rPr>
        <w:t xml:space="preserve">. This document is therefore a </w:t>
      </w:r>
      <w:r>
        <w:rPr>
          <w:rFonts w:ascii="Calibri" w:hAnsi="Calibri"/>
          <w:b/>
          <w:color w:val="525866"/>
          <w:sz w:val="22"/>
        </w:rPr>
        <w:t>call-preparation note</w:t>
      </w:r>
      <w:r>
        <w:rPr>
          <w:rFonts w:ascii="Calibri" w:hAnsi="Calibri"/>
          <w:color w:val="525866"/>
          <w:sz w:val="22"/>
        </w:rPr>
        <w:t xml:space="preserve"> — results are known; the focus is on framing the key questions, guidance updates, and read-throughs heading into tomorrow's call.</w:t>
      </w:r>
    </w:p>
    <w:p>
      <w:r>
        <w:br w:type="page"/>
      </w:r>
    </w:p>
    <w:p>
      <w:pPr>
        <w:pStyle w:val="Heading2"/>
      </w:pPr>
      <w:r>
        <w:rPr>
          <w:rFonts w:ascii="Calibri" w:hAnsi="Calibri"/>
          <w:b/>
          <w:color w:val="3B4259"/>
          <w:sz w:val="28"/>
        </w:rPr>
        <w:t>1. Call Setup &amp; Key Takeaway</w:t>
      </w:r>
    </w:p>
    <w:p>
      <w:r>
        <w:rPr>
          <w:rFonts w:ascii="Calibri" w:hAnsi="Calibri"/>
          <w:b/>
          <w:color w:val="525866"/>
          <w:sz w:val="22"/>
        </w:rPr>
        <w:t xml:space="preserve">Key Takeaway: </w:t>
      </w:r>
      <w:r>
        <w:rPr>
          <w:rFonts w:ascii="Calibri" w:hAnsi="Calibri"/>
          <w:color w:val="525866"/>
          <w:sz w:val="22"/>
        </w:rPr>
        <w:t>APA delivered a clean beat on every major metric — U.S. oil production, free cash flow, and adjusted EPS all came in above guidance — while simultaneously raising full-year U.S. oil guidance, lifting the cost-savings target to $500 million (from $450 million), and cutting LOE guidance by $25 million. The call tomorrow will center on three questions: (1) how management plans to deploy $738 million of Q2 free cash flow (debt vs. buybacks), (2) the trajectory of the gas trading book into H2 and 2027, and (3) whether the Waha improvement seen in July changes the curtailment assumption for H2.</w:t>
      </w:r>
    </w:p>
    <w:p>
      <w:r>
        <w:rPr>
          <w:rFonts w:ascii="Calibri" w:hAnsi="Calibri"/>
          <w:color w:val="525866"/>
          <w:sz w:val="22"/>
        </w:rPr>
        <w:t xml:space="preserve">APA entered Q2 2026 with the market skeptical about Permian gas curtailments and Egypt PSC volume headwinds, but the company executed through both. </w:t>
      </w:r>
      <w:r>
        <w:rPr>
          <w:rFonts w:ascii="Calibri" w:hAnsi="Calibri"/>
          <w:b/>
          <w:color w:val="525866"/>
          <w:sz w:val="22"/>
        </w:rPr>
        <w:t>U.S. oil production of 123,500 bbl/d came in 2,500 bbl/d above guidance</w:t>
      </w:r>
      <w:r>
        <w:rPr>
          <w:rFonts w:ascii="Calibri" w:hAnsi="Calibri"/>
          <w:color w:val="525866"/>
          <w:sz w:val="22"/>
        </w:rPr>
        <w:t xml:space="preserve">, and adjusted production of 347,000 BOE/d exceeded guidance despite continued Waha-driven gas curtailments (~137 MMcf/d curtailed). Free cash flow of $738 million was robust, supported by a gas trading portfolio that management guided to ~$1.1 billion of pretax cash flow for the full year. The balance sheet continues to improve rapidly: total debt is down $2.3 billion since year-end 2024, annualized interest expense is more than $155 million lower, and the next maturity is not until December 2029. The cost savings program has been re-rated upward again — the exit run-rate target is now $500 million, up from $450 million just one quarter ago. </w:t>
      </w:r>
    </w:p>
    <w:p>
      <w:r>
        <w:rPr>
          <w:rFonts w:ascii="Calibri" w:hAnsi="Calibri"/>
          <w:b/>
          <w:color w:val="525866"/>
          <w:sz w:val="22"/>
        </w:rPr>
        <w:t xml:space="preserve">The key wildcard for the call is the gas trading book and Waha outlook. </w:t>
      </w:r>
      <w:r>
        <w:rPr>
          <w:rFonts w:ascii="Calibri" w:hAnsi="Calibri"/>
          <w:color w:val="525866"/>
          <w:sz w:val="22"/>
        </w:rPr>
        <w:t>Peers (FANG, DVN) confirmed Waha was positive for the entire month of July as new pipeline capacity (Hugh Brinson, Blackcomb) began flowing, which could allow APA to lift its H2 curtailment assumption and revise gas revenue upward. Management's tone on capital returns mix (debt paydown vs. buybacks) will also be closely watched given the accelerating free cash flow profile and the $3 billion net debt target now described as achievable in the near term.</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APA beat consensus on every key metric in Q2 2026. Adjusted EPS of $1.89/share came in well above the $1.87 consensus, U.S. oil production beat guidance by 2,500 bbl/d, and free cash flow of $738 million was broadly in line with the $734 million consensus estimate. The bar heading into the call is now higher — full-year guidance has been raised across the board.</w:t>
      </w:r>
    </w:p>
    <w:p>
      <w:pPr>
        <w:pStyle w:val="Heading3"/>
      </w:pPr>
      <w:r>
        <w:rPr>
          <w:rFonts w:ascii="Calibri" w:hAnsi="Calibri"/>
          <w:b/>
          <w:color w:val="3B4259"/>
          <w:sz w:val="24"/>
        </w:rPr>
        <w:t>Table 1 — Q2 2026 KPI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Q2 2026 Actual</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Surprise vs. Consensus</w:t>
            </w:r>
          </w:p>
        </w:tc>
      </w:tr>
      <w:tr>
        <w:tc>
          <w:tcPr>
            <w:tcW w:type="dxa" w:w="1234"/>
          </w:tcPr>
          <w:p>
            <w:r>
              <w:rPr>
                <w:rFonts w:ascii="Calibri" w:hAnsi="Calibri"/>
                <w:sz w:val="22"/>
              </w:rPr>
              <w:t>Adj. EPS — Diluted (Operating) ($)</w:t>
            </w:r>
          </w:p>
        </w:tc>
        <w:tc>
          <w:tcPr>
            <w:tcW w:type="dxa" w:w="1234"/>
          </w:tcPr>
          <w:p>
            <w:r>
              <w:rPr>
                <w:rFonts w:ascii="Calibri" w:hAnsi="Calibri"/>
                <w:sz w:val="22"/>
              </w:rPr>
              <w:t>$1.38</w:t>
            </w:r>
          </w:p>
        </w:tc>
        <w:tc>
          <w:tcPr>
            <w:tcW w:type="dxa" w:w="1234"/>
          </w:tcPr>
          <w:p>
            <w:r>
              <w:rPr>
                <w:rFonts w:ascii="Calibri" w:hAnsi="Calibri"/>
                <w:sz w:val="22"/>
              </w:rPr>
              <w:t>$0.87</w:t>
            </w:r>
          </w:p>
        </w:tc>
        <w:tc>
          <w:tcPr>
            <w:tcW w:type="dxa" w:w="1234"/>
          </w:tcPr>
          <w:p>
            <w:r>
              <w:rPr>
                <w:rFonts w:ascii="Calibri" w:hAnsi="Calibri"/>
                <w:sz w:val="22"/>
              </w:rPr>
              <w:t>$1.87</w:t>
            </w:r>
          </w:p>
        </w:tc>
        <w:tc>
          <w:tcPr>
            <w:tcW w:type="dxa" w:w="1234"/>
          </w:tcPr>
          <w:p>
            <w:r>
              <w:rPr>
                <w:rFonts w:ascii="Calibri" w:hAnsi="Calibri"/>
                <w:b/>
                <w:sz w:val="22"/>
              </w:rPr>
              <w:t>$1.89</w:t>
            </w:r>
          </w:p>
        </w:tc>
        <w:tc>
          <w:tcPr>
            <w:tcW w:type="dxa" w:w="1234"/>
          </w:tcPr>
          <w:p>
            <w:r>
              <w:rPr>
                <w:rFonts w:ascii="Calibri" w:hAnsi="Calibri"/>
                <w:sz w:val="22"/>
              </w:rPr>
              <w:t>+117%</w:t>
            </w:r>
          </w:p>
        </w:tc>
        <w:tc>
          <w:tcPr>
            <w:tcW w:type="dxa" w:w="1234"/>
          </w:tcPr>
          <w:p>
            <w:r>
              <w:rPr>
                <w:rFonts w:ascii="Calibri" w:hAnsi="Calibri"/>
                <w:b/>
                <w:color w:val="30A46C"/>
                <w:sz w:val="22"/>
              </w:rPr>
              <w:t>+$0.02 / +1.1%</w:t>
            </w:r>
          </w:p>
        </w:tc>
      </w:tr>
      <w:tr>
        <w:tc>
          <w:tcPr>
            <w:tcW w:type="dxa" w:w="1234"/>
          </w:tcPr>
          <w:p>
            <w:r>
              <w:rPr>
                <w:rFonts w:ascii="Calibri" w:hAnsi="Calibri"/>
                <w:sz w:val="22"/>
              </w:rPr>
              <w:t>Total Revenue ($B)</w:t>
            </w:r>
          </w:p>
        </w:tc>
        <w:tc>
          <w:tcPr>
            <w:tcW w:type="dxa" w:w="1234"/>
          </w:tcPr>
          <w:p>
            <w:r>
              <w:rPr>
                <w:rFonts w:ascii="Calibri" w:hAnsi="Calibri"/>
                <w:sz w:val="22"/>
              </w:rPr>
              <w:t>$2.14B</w:t>
            </w:r>
          </w:p>
        </w:tc>
        <w:tc>
          <w:tcPr>
            <w:tcW w:type="dxa" w:w="1234"/>
          </w:tcPr>
          <w:p>
            <w:r>
              <w:rPr>
                <w:rFonts w:ascii="Calibri" w:hAnsi="Calibri"/>
                <w:sz w:val="22"/>
              </w:rPr>
              <w:t>$2.31B</w:t>
            </w:r>
          </w:p>
        </w:tc>
        <w:tc>
          <w:tcPr>
            <w:tcW w:type="dxa" w:w="1234"/>
          </w:tcPr>
          <w:p>
            <w:r>
              <w:rPr>
                <w:rFonts w:ascii="Calibri" w:hAnsi="Calibri"/>
                <w:sz w:val="22"/>
              </w:rPr>
              <w:t>$2.44B</w:t>
            </w:r>
          </w:p>
        </w:tc>
        <w:tc>
          <w:tcPr>
            <w:tcW w:type="dxa" w:w="1234"/>
          </w:tcPr>
          <w:p>
            <w:r>
              <w:rPr>
                <w:rFonts w:ascii="Calibri" w:hAnsi="Calibri"/>
                <w:sz w:val="22"/>
              </w:rPr>
              <w:t>N/A — not yet in VA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Oil Volume/Day (Mbpd)</w:t>
            </w:r>
          </w:p>
        </w:tc>
        <w:tc>
          <w:tcPr>
            <w:tcW w:type="dxa" w:w="1234"/>
          </w:tcPr>
          <w:p>
            <w:r>
              <w:rPr>
                <w:rFonts w:ascii="Calibri" w:hAnsi="Calibri"/>
                <w:sz w:val="22"/>
              </w:rPr>
              <w:t>231.97 Mbpd</w:t>
            </w:r>
          </w:p>
        </w:tc>
        <w:tc>
          <w:tcPr>
            <w:tcW w:type="dxa" w:w="1234"/>
          </w:tcPr>
          <w:p>
            <w:r>
              <w:rPr>
                <w:rFonts w:ascii="Calibri" w:hAnsi="Calibri"/>
                <w:sz w:val="22"/>
              </w:rPr>
              <w:t>235.24 Mbpd</w:t>
            </w:r>
          </w:p>
        </w:tc>
        <w:tc>
          <w:tcPr>
            <w:tcW w:type="dxa" w:w="1234"/>
          </w:tcPr>
          <w:p>
            <w:r>
              <w:rPr>
                <w:rFonts w:ascii="Calibri" w:hAnsi="Calibri"/>
                <w:sz w:val="22"/>
              </w:rPr>
              <w:t>213.78 Mbpd</w:t>
            </w:r>
          </w:p>
        </w:tc>
        <w:tc>
          <w:tcPr>
            <w:tcW w:type="dxa" w:w="1234"/>
          </w:tcPr>
          <w:p>
            <w:r>
              <w:rPr>
                <w:rFonts w:ascii="Calibri" w:hAnsi="Calibri"/>
                <w:sz w:val="22"/>
              </w:rPr>
              <w:t>N/A — not yet in VA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U.S. Oil Production (bbl/d)</w:t>
            </w:r>
          </w:p>
        </w:tc>
        <w:tc>
          <w:tcPr>
            <w:tcW w:type="dxa" w:w="1234"/>
          </w:tcPr>
          <w:p>
            <w:r>
              <w:rPr>
                <w:rFonts w:ascii="Calibri" w:hAnsi="Calibri"/>
                <w:sz w:val="22"/>
              </w:rPr>
              <w:t>~121,000</w:t>
            </w:r>
          </w:p>
        </w:tc>
        <w:tc>
          <w:tcPr>
            <w:tcW w:type="dxa" w:w="1234"/>
          </w:tcPr>
          <w:p>
            <w:r>
              <w:rPr>
                <w:rFonts w:ascii="Calibri" w:hAnsi="Calibri"/>
                <w:sz w:val="22"/>
              </w:rPr>
              <w:t>~120,000</w:t>
            </w:r>
          </w:p>
        </w:tc>
        <w:tc>
          <w:tcPr>
            <w:tcW w:type="dxa" w:w="1234"/>
          </w:tcPr>
          <w:p>
            <w:r>
              <w:rPr>
                <w:rFonts w:ascii="Calibri" w:hAnsi="Calibri"/>
                <w:sz w:val="22"/>
              </w:rPr>
              <w:t>~121,000 (guidance)</w:t>
            </w:r>
          </w:p>
        </w:tc>
        <w:tc>
          <w:tcPr>
            <w:tcW w:type="dxa" w:w="1234"/>
          </w:tcPr>
          <w:p>
            <w:r>
              <w:rPr>
                <w:rFonts w:ascii="Calibri" w:hAnsi="Calibri"/>
                <w:b/>
                <w:sz w:val="22"/>
              </w:rPr>
              <w:t>123,500</w:t>
            </w:r>
          </w:p>
        </w:tc>
        <w:tc>
          <w:tcPr>
            <w:tcW w:type="dxa" w:w="1234"/>
          </w:tcPr>
          <w:p>
            <w:r>
              <w:rPr>
                <w:rFonts w:ascii="Calibri" w:hAnsi="Calibri"/>
                <w:sz w:val="22"/>
              </w:rPr>
              <w:t>+~3%</w:t>
            </w:r>
          </w:p>
        </w:tc>
        <w:tc>
          <w:tcPr>
            <w:tcW w:type="dxa" w:w="1234"/>
          </w:tcPr>
          <w:p>
            <w:r>
              <w:rPr>
                <w:rFonts w:ascii="Calibri" w:hAnsi="Calibri"/>
                <w:b/>
                <w:color w:val="30A46C"/>
                <w:sz w:val="22"/>
              </w:rPr>
              <w:t>+2,500 bbl/d vs. guidance</w:t>
            </w:r>
          </w:p>
        </w:tc>
      </w:tr>
      <w:tr>
        <w:tc>
          <w:tcPr>
            <w:tcW w:type="dxa" w:w="1234"/>
          </w:tcPr>
          <w:p>
            <w:r>
              <w:rPr>
                <w:rFonts w:ascii="Calibri" w:hAnsi="Calibri"/>
                <w:sz w:val="22"/>
              </w:rPr>
              <w:t>Total BOE Production/Day (Mboe/d) — Adjusted</w:t>
            </w:r>
          </w:p>
        </w:tc>
        <w:tc>
          <w:tcPr>
            <w:tcW w:type="dxa" w:w="1234"/>
          </w:tcPr>
          <w:p>
            <w:r>
              <w:rPr>
                <w:rFonts w:ascii="Calibri" w:hAnsi="Calibri"/>
                <w:sz w:val="22"/>
              </w:rPr>
              <w:t>442.35 Mboe/d</w:t>
            </w:r>
          </w:p>
        </w:tc>
        <w:tc>
          <w:tcPr>
            <w:tcW w:type="dxa" w:w="1234"/>
          </w:tcPr>
          <w:p>
            <w:r>
              <w:rPr>
                <w:rFonts w:ascii="Calibri" w:hAnsi="Calibri"/>
                <w:sz w:val="22"/>
              </w:rPr>
              <w:t>465.08 Mboe/d</w:t>
            </w:r>
          </w:p>
        </w:tc>
        <w:tc>
          <w:tcPr>
            <w:tcW w:type="dxa" w:w="1234"/>
          </w:tcPr>
          <w:p>
            <w:r>
              <w:rPr>
                <w:rFonts w:ascii="Calibri" w:hAnsi="Calibri"/>
                <w:sz w:val="22"/>
              </w:rPr>
              <w:t>409.31 Mboe/d</w:t>
            </w:r>
          </w:p>
        </w:tc>
        <w:tc>
          <w:tcPr>
            <w:tcW w:type="dxa" w:w="1234"/>
          </w:tcPr>
          <w:p>
            <w:r>
              <w:rPr>
                <w:rFonts w:ascii="Calibri" w:hAnsi="Calibri"/>
                <w:b/>
                <w:sz w:val="22"/>
              </w:rPr>
              <w:t>347,000 BOE/d (adj.); ~410,000 reported</w:t>
            </w:r>
          </w:p>
        </w:tc>
        <w:tc>
          <w:tcPr>
            <w:tcW w:type="dxa" w:w="1234"/>
          </w:tcPr>
          <w:p>
            <w:r>
              <w:rPr>
                <w:rFonts w:ascii="Calibri" w:hAnsi="Calibri"/>
                <w:sz w:val="22"/>
              </w:rPr>
              <w:t>-25% adj. (PSC/curtailments)</w:t>
            </w:r>
          </w:p>
        </w:tc>
        <w:tc>
          <w:tcPr>
            <w:tcW w:type="dxa" w:w="1234"/>
          </w:tcPr>
          <w:p>
            <w:r>
              <w:rPr>
                <w:rFonts w:ascii="Calibri" w:hAnsi="Calibri"/>
                <w:b/>
                <w:color w:val="30A46C"/>
                <w:sz w:val="22"/>
              </w:rPr>
              <w:t>Exceeded guidance</w:t>
            </w:r>
          </w:p>
        </w:tc>
      </w:tr>
      <w:tr>
        <w:tc>
          <w:tcPr>
            <w:tcW w:type="dxa" w:w="1234"/>
          </w:tcPr>
          <w:p>
            <w:r>
              <w:rPr>
                <w:rFonts w:ascii="Calibri" w:hAnsi="Calibri"/>
                <w:sz w:val="22"/>
              </w:rPr>
              <w:t>Free Cash Flow ($M)</w:t>
            </w:r>
          </w:p>
        </w:tc>
        <w:tc>
          <w:tcPr>
            <w:tcW w:type="dxa" w:w="1234"/>
          </w:tcPr>
          <w:p>
            <w:r>
              <w:rPr>
                <w:rFonts w:ascii="Calibri" w:hAnsi="Calibri"/>
                <w:sz w:val="22"/>
              </w:rPr>
              <w:t>$477M</w:t>
            </w:r>
          </w:p>
        </w:tc>
        <w:tc>
          <w:tcPr>
            <w:tcW w:type="dxa" w:w="1234"/>
          </w:tcPr>
          <w:p>
            <w:r>
              <w:rPr>
                <w:rFonts w:ascii="Calibri" w:hAnsi="Calibri"/>
                <w:sz w:val="22"/>
              </w:rPr>
              <w:t>$134M</w:t>
            </w:r>
          </w:p>
        </w:tc>
        <w:tc>
          <w:tcPr>
            <w:tcW w:type="dxa" w:w="1234"/>
          </w:tcPr>
          <w:p>
            <w:r>
              <w:rPr>
                <w:rFonts w:ascii="Calibri" w:hAnsi="Calibri"/>
                <w:sz w:val="22"/>
              </w:rPr>
              <w:t>$734M</w:t>
            </w:r>
          </w:p>
        </w:tc>
        <w:tc>
          <w:tcPr>
            <w:tcW w:type="dxa" w:w="1234"/>
          </w:tcPr>
          <w:p>
            <w:r>
              <w:rPr>
                <w:rFonts w:ascii="Calibri" w:hAnsi="Calibri"/>
                <w:b/>
                <w:sz w:val="22"/>
              </w:rPr>
              <w:t>$738M</w:t>
            </w:r>
          </w:p>
        </w:tc>
        <w:tc>
          <w:tcPr>
            <w:tcW w:type="dxa" w:w="1234"/>
          </w:tcPr>
          <w:p>
            <w:r>
              <w:rPr>
                <w:rFonts w:ascii="Calibri" w:hAnsi="Calibri"/>
                <w:sz w:val="22"/>
              </w:rPr>
              <w:t>+451%</w:t>
            </w:r>
          </w:p>
        </w:tc>
        <w:tc>
          <w:tcPr>
            <w:tcW w:type="dxa" w:w="1234"/>
          </w:tcPr>
          <w:p>
            <w:r>
              <w:rPr>
                <w:rFonts w:ascii="Calibri" w:hAnsi="Calibri"/>
                <w:b/>
                <w:color w:val="30A46C"/>
                <w:sz w:val="22"/>
              </w:rPr>
              <w:t>+$4M / +0.5%</w:t>
            </w:r>
          </w:p>
        </w:tc>
      </w:tr>
      <w:tr>
        <w:tc>
          <w:tcPr>
            <w:tcW w:type="dxa" w:w="1234"/>
          </w:tcPr>
          <w:p>
            <w:r>
              <w:rPr>
                <w:rFonts w:ascii="Calibri" w:hAnsi="Calibri"/>
                <w:sz w:val="22"/>
              </w:rPr>
              <w:t>Capital Expenditures ($M)</w:t>
            </w:r>
          </w:p>
        </w:tc>
        <w:tc>
          <w:tcPr>
            <w:tcW w:type="dxa" w:w="1234"/>
          </w:tcPr>
          <w:p>
            <w:r>
              <w:rPr>
                <w:rFonts w:ascii="Calibri" w:hAnsi="Calibri"/>
                <w:sz w:val="22"/>
              </w:rPr>
              <w:t>$542M</w:t>
            </w:r>
          </w:p>
        </w:tc>
        <w:tc>
          <w:tcPr>
            <w:tcW w:type="dxa" w:w="1234"/>
          </w:tcPr>
          <w:p>
            <w:r>
              <w:rPr>
                <w:rFonts w:ascii="Calibri" w:hAnsi="Calibri"/>
                <w:sz w:val="22"/>
              </w:rPr>
              <w:t>$660M</w:t>
            </w:r>
          </w:p>
        </w:tc>
        <w:tc>
          <w:tcPr>
            <w:tcW w:type="dxa" w:w="1234"/>
          </w:tcPr>
          <w:p>
            <w:r>
              <w:rPr>
                <w:rFonts w:ascii="Calibri" w:hAnsi="Calibri"/>
                <w:sz w:val="22"/>
              </w:rPr>
              <w:t>$578M</w:t>
            </w:r>
          </w:p>
        </w:tc>
        <w:tc>
          <w:tcPr>
            <w:tcW w:type="dxa" w:w="1234"/>
          </w:tcPr>
          <w:p>
            <w:r>
              <w:rPr>
                <w:rFonts w:ascii="Calibri" w:hAnsi="Calibri"/>
                <w:sz w:val="22"/>
              </w:rPr>
              <w:t>N/A — not yet in VA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(EPS, Total BOE/day, FCF, CapEx, Revenue); APA Q2 2026 Earnings Release (8-K, August 5, 2026) for reported actuals. Q2 2026 VA actuals not yet fully ingested at time of preparation — reported figures sourced from press release.</w:t>
      </w:r>
    </w:p>
    <w:p>
      <w:pPr>
        <w:pStyle w:val="Heading3"/>
      </w:pPr>
      <w:r>
        <w:rPr>
          <w:rFonts w:ascii="Calibri" w:hAnsi="Calibri"/>
          <w:b/>
          <w:color w:val="3B4259"/>
          <w:sz w:val="24"/>
        </w:rPr>
        <w:t>Table 2 — Beat/Miss History: Adj. EPS &amp; Total BOE/Day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$1.00</w:t>
            </w:r>
          </w:p>
        </w:tc>
        <w:tc>
          <w:tcPr>
            <w:tcW w:type="dxa" w:w="1440"/>
          </w:tcPr>
          <w:p>
            <w:r>
              <w:rPr>
                <w:rFonts w:ascii="Calibri" w:hAnsi="Calibri"/>
                <w:sz w:val="22"/>
              </w:rPr>
              <w:t>$0.92</w:t>
            </w:r>
          </w:p>
        </w:tc>
        <w:tc>
          <w:tcPr>
            <w:tcW w:type="dxa" w:w="1440"/>
          </w:tcPr>
          <w:p>
            <w:r>
              <w:rPr>
                <w:rFonts w:ascii="Calibri" w:hAnsi="Calibri"/>
                <w:sz w:val="22"/>
              </w:rPr>
              <w:t>+8.2%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BOE/d (Mboe)</w:t>
            </w:r>
          </w:p>
        </w:tc>
        <w:tc>
          <w:tcPr>
            <w:tcW w:type="dxa" w:w="1440"/>
          </w:tcPr>
          <w:p>
            <w:r>
              <w:rPr>
                <w:rFonts w:ascii="Calibri" w:hAnsi="Calibri"/>
                <w:sz w:val="22"/>
              </w:rPr>
              <w:t>467.5</w:t>
            </w:r>
          </w:p>
        </w:tc>
        <w:tc>
          <w:tcPr>
            <w:tcW w:type="dxa" w:w="1440"/>
          </w:tcPr>
          <w:p>
            <w:r>
              <w:rPr>
                <w:rFonts w:ascii="Calibri" w:hAnsi="Calibri"/>
                <w:sz w:val="22"/>
              </w:rPr>
              <w:t>453.6</w:t>
            </w:r>
          </w:p>
        </w:tc>
        <w:tc>
          <w:tcPr>
            <w:tcW w:type="dxa" w:w="1440"/>
          </w:tcPr>
          <w:p>
            <w:r>
              <w:rPr>
                <w:rFonts w:ascii="Calibri" w:hAnsi="Calibri"/>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$0.79</w:t>
            </w:r>
          </w:p>
        </w:tc>
        <w:tc>
          <w:tcPr>
            <w:tcW w:type="dxa" w:w="1440"/>
          </w:tcPr>
          <w:p>
            <w:r>
              <w:rPr>
                <w:rFonts w:ascii="Calibri" w:hAnsi="Calibri"/>
                <w:sz w:val="22"/>
              </w:rPr>
              <w:t>$0.92</w:t>
            </w:r>
          </w:p>
        </w:tc>
        <w:tc>
          <w:tcPr>
            <w:tcW w:type="dxa" w:w="1440"/>
          </w:tcPr>
          <w:p>
            <w:r>
              <w:rPr>
                <w:rFonts w:ascii="Calibri" w:hAnsi="Calibri"/>
                <w:sz w:val="22"/>
              </w:rPr>
              <w:t>-14.1%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BOE/d (Mboe)</w:t>
            </w:r>
          </w:p>
        </w:tc>
        <w:tc>
          <w:tcPr>
            <w:tcW w:type="dxa" w:w="1440"/>
          </w:tcPr>
          <w:p>
            <w:r>
              <w:rPr>
                <w:rFonts w:ascii="Calibri" w:hAnsi="Calibri"/>
                <w:sz w:val="22"/>
              </w:rPr>
              <w:t>488.3</w:t>
            </w:r>
          </w:p>
        </w:tc>
        <w:tc>
          <w:tcPr>
            <w:tcW w:type="dxa" w:w="1440"/>
          </w:tcPr>
          <w:p>
            <w:r>
              <w:rPr>
                <w:rFonts w:ascii="Calibri" w:hAnsi="Calibri"/>
                <w:sz w:val="22"/>
              </w:rPr>
              <w:t>481.0</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$1.06</w:t>
            </w:r>
          </w:p>
        </w:tc>
        <w:tc>
          <w:tcPr>
            <w:tcW w:type="dxa" w:w="1440"/>
          </w:tcPr>
          <w:p>
            <w:r>
              <w:rPr>
                <w:rFonts w:ascii="Calibri" w:hAnsi="Calibri"/>
                <w:sz w:val="22"/>
              </w:rPr>
              <w:t>$0.85</w:t>
            </w:r>
          </w:p>
        </w:tc>
        <w:tc>
          <w:tcPr>
            <w:tcW w:type="dxa" w:w="1440"/>
          </w:tcPr>
          <w:p>
            <w:r>
              <w:rPr>
                <w:rFonts w:ascii="Calibri" w:hAnsi="Calibri"/>
                <w:sz w:val="22"/>
              </w:rPr>
              <w:t>+24.4%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BOE/d (Mboe)</w:t>
            </w:r>
          </w:p>
        </w:tc>
        <w:tc>
          <w:tcPr>
            <w:tcW w:type="dxa" w:w="1440"/>
          </w:tcPr>
          <w:p>
            <w:r>
              <w:rPr>
                <w:rFonts w:ascii="Calibri" w:hAnsi="Calibri"/>
                <w:sz w:val="22"/>
              </w:rPr>
              <w:t>469.0</w:t>
            </w:r>
          </w:p>
        </w:tc>
        <w:tc>
          <w:tcPr>
            <w:tcW w:type="dxa" w:w="1440"/>
          </w:tcPr>
          <w:p>
            <w:r>
              <w:rPr>
                <w:rFonts w:ascii="Calibri" w:hAnsi="Calibri"/>
                <w:sz w:val="22"/>
              </w:rPr>
              <w:t>463.5</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$0.87</w:t>
            </w:r>
          </w:p>
        </w:tc>
        <w:tc>
          <w:tcPr>
            <w:tcW w:type="dxa" w:w="1440"/>
          </w:tcPr>
          <w:p>
            <w:r>
              <w:rPr>
                <w:rFonts w:ascii="Calibri" w:hAnsi="Calibri"/>
                <w:sz w:val="22"/>
              </w:rPr>
              <w:t>$0.45</w:t>
            </w:r>
          </w:p>
        </w:tc>
        <w:tc>
          <w:tcPr>
            <w:tcW w:type="dxa" w:w="1440"/>
          </w:tcPr>
          <w:p>
            <w:r>
              <w:rPr>
                <w:rFonts w:ascii="Calibri" w:hAnsi="Calibri"/>
                <w:sz w:val="22"/>
              </w:rPr>
              <w:t>+93.3%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BOE/d (Mboe)</w:t>
            </w:r>
          </w:p>
        </w:tc>
        <w:tc>
          <w:tcPr>
            <w:tcW w:type="dxa" w:w="1440"/>
          </w:tcPr>
          <w:p>
            <w:r>
              <w:rPr>
                <w:rFonts w:ascii="Calibri" w:hAnsi="Calibri"/>
                <w:sz w:val="22"/>
              </w:rPr>
              <w:t>465.1</w:t>
            </w:r>
          </w:p>
        </w:tc>
        <w:tc>
          <w:tcPr>
            <w:tcW w:type="dxa" w:w="1440"/>
          </w:tcPr>
          <w:p>
            <w:r>
              <w:rPr>
                <w:rFonts w:ascii="Calibri" w:hAnsi="Calibri"/>
                <w:sz w:val="22"/>
              </w:rPr>
              <w:t>456.5</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$0.93</w:t>
            </w:r>
          </w:p>
        </w:tc>
        <w:tc>
          <w:tcPr>
            <w:tcW w:type="dxa" w:w="1440"/>
          </w:tcPr>
          <w:p>
            <w:r>
              <w:rPr>
                <w:rFonts w:ascii="Calibri" w:hAnsi="Calibri"/>
                <w:sz w:val="22"/>
              </w:rPr>
              <w:t>$0.74</w:t>
            </w:r>
          </w:p>
        </w:tc>
        <w:tc>
          <w:tcPr>
            <w:tcW w:type="dxa" w:w="1440"/>
          </w:tcPr>
          <w:p>
            <w:r>
              <w:rPr>
                <w:rFonts w:ascii="Calibri" w:hAnsi="Calibri"/>
                <w:sz w:val="22"/>
              </w:rPr>
              <w:t>+25.7%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BOE/d (Mboe)</w:t>
            </w:r>
          </w:p>
        </w:tc>
        <w:tc>
          <w:tcPr>
            <w:tcW w:type="dxa" w:w="1440"/>
          </w:tcPr>
          <w:p>
            <w:r>
              <w:rPr>
                <w:rFonts w:ascii="Calibri" w:hAnsi="Calibri"/>
                <w:sz w:val="22"/>
              </w:rPr>
              <w:t>463.8</w:t>
            </w:r>
          </w:p>
        </w:tc>
        <w:tc>
          <w:tcPr>
            <w:tcW w:type="dxa" w:w="1440"/>
          </w:tcPr>
          <w:p>
            <w:r>
              <w:rPr>
                <w:rFonts w:ascii="Calibri" w:hAnsi="Calibri"/>
                <w:sz w:val="22"/>
              </w:rPr>
              <w:t>448.0</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$0.91</w:t>
            </w:r>
          </w:p>
        </w:tc>
        <w:tc>
          <w:tcPr>
            <w:tcW w:type="dxa" w:w="1440"/>
          </w:tcPr>
          <w:p>
            <w:r>
              <w:rPr>
                <w:rFonts w:ascii="Calibri" w:hAnsi="Calibri"/>
                <w:sz w:val="22"/>
              </w:rPr>
              <w:t>$0.57</w:t>
            </w:r>
          </w:p>
        </w:tc>
        <w:tc>
          <w:tcPr>
            <w:tcW w:type="dxa" w:w="1440"/>
          </w:tcPr>
          <w:p>
            <w:r>
              <w:rPr>
                <w:rFonts w:ascii="Calibri" w:hAnsi="Calibri"/>
                <w:sz w:val="22"/>
              </w:rPr>
              <w:t>+59.1%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BOE/d (Mboe)</w:t>
            </w:r>
          </w:p>
        </w:tc>
        <w:tc>
          <w:tcPr>
            <w:tcW w:type="dxa" w:w="1440"/>
          </w:tcPr>
          <w:p>
            <w:r>
              <w:rPr>
                <w:rFonts w:ascii="Calibri" w:hAnsi="Calibri"/>
                <w:sz w:val="22"/>
              </w:rPr>
              <w:t>459.8</w:t>
            </w:r>
          </w:p>
        </w:tc>
        <w:tc>
          <w:tcPr>
            <w:tcW w:type="dxa" w:w="1440"/>
          </w:tcPr>
          <w:p>
            <w:r>
              <w:rPr>
                <w:rFonts w:ascii="Calibri" w:hAnsi="Calibri"/>
                <w:sz w:val="22"/>
              </w:rPr>
              <w:t>439.4</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$1.38</w:t>
            </w:r>
          </w:p>
        </w:tc>
        <w:tc>
          <w:tcPr>
            <w:tcW w:type="dxa" w:w="1440"/>
          </w:tcPr>
          <w:p>
            <w:r>
              <w:rPr>
                <w:rFonts w:ascii="Calibri" w:hAnsi="Calibri"/>
                <w:sz w:val="22"/>
              </w:rPr>
              <w:t>$1.08</w:t>
            </w:r>
          </w:p>
        </w:tc>
        <w:tc>
          <w:tcPr>
            <w:tcW w:type="dxa" w:w="1440"/>
          </w:tcPr>
          <w:p>
            <w:r>
              <w:rPr>
                <w:rFonts w:ascii="Calibri" w:hAnsi="Calibri"/>
                <w:sz w:val="22"/>
              </w:rPr>
              <w:t>+27.8%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BOE/d (Mboe)</w:t>
            </w:r>
          </w:p>
        </w:tc>
        <w:tc>
          <w:tcPr>
            <w:tcW w:type="dxa" w:w="1440"/>
          </w:tcPr>
          <w:p>
            <w:r>
              <w:rPr>
                <w:rFonts w:ascii="Calibri" w:hAnsi="Calibri"/>
                <w:sz w:val="22"/>
              </w:rPr>
              <w:t>442.4</w:t>
            </w:r>
          </w:p>
        </w:tc>
        <w:tc>
          <w:tcPr>
            <w:tcW w:type="dxa" w:w="1440"/>
          </w:tcPr>
          <w:p>
            <w:r>
              <w:rPr>
                <w:rFonts w:ascii="Calibri" w:hAnsi="Calibri"/>
                <w:sz w:val="22"/>
              </w:rPr>
              <w:t>438.1</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2026</w:t>
            </w:r>
          </w:p>
        </w:tc>
        <w:tc>
          <w:tcPr>
            <w:tcW w:type="dxa" w:w="1440"/>
          </w:tcPr>
          <w:p>
            <w:r>
              <w:rPr>
                <w:rFonts w:ascii="Calibri" w:hAnsi="Calibri"/>
                <w:sz w:val="22"/>
              </w:rPr>
              <w:t>Adj. EPS ($)</w:t>
            </w:r>
          </w:p>
        </w:tc>
        <w:tc>
          <w:tcPr>
            <w:tcW w:type="dxa" w:w="1440"/>
          </w:tcPr>
          <w:p>
            <w:r>
              <w:rPr>
                <w:rFonts w:ascii="Calibri" w:hAnsi="Calibri"/>
                <w:sz w:val="22"/>
              </w:rPr>
              <w:t>$1.89</w:t>
            </w:r>
          </w:p>
        </w:tc>
        <w:tc>
          <w:tcPr>
            <w:tcW w:type="dxa" w:w="1440"/>
          </w:tcPr>
          <w:p>
            <w:r>
              <w:rPr>
                <w:rFonts w:ascii="Calibri" w:hAnsi="Calibri"/>
                <w:sz w:val="22"/>
              </w:rPr>
              <w:t>$1.87</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2026</w:t>
            </w:r>
          </w:p>
        </w:tc>
        <w:tc>
          <w:tcPr>
            <w:tcW w:type="dxa" w:w="1440"/>
          </w:tcPr>
          <w:p>
            <w:r>
              <w:rPr>
                <w:rFonts w:ascii="Calibri" w:hAnsi="Calibri"/>
                <w:sz w:val="22"/>
              </w:rPr>
              <w:t>BOE/d (Mboe) — Adj.</w:t>
            </w:r>
          </w:p>
        </w:tc>
        <w:tc>
          <w:tcPr>
            <w:tcW w:type="dxa" w:w="1440"/>
          </w:tcPr>
          <w:p>
            <w:r>
              <w:rPr>
                <w:rFonts w:ascii="Calibri" w:hAnsi="Calibri"/>
                <w:sz w:val="22"/>
              </w:rPr>
              <w:t>347.0 (adj.)</w:t>
            </w:r>
          </w:p>
        </w:tc>
        <w:tc>
          <w:tcPr>
            <w:tcW w:type="dxa" w:w="1440"/>
          </w:tcPr>
          <w:p>
            <w:r>
              <w:rPr>
                <w:rFonts w:ascii="Calibri" w:hAnsi="Calibri"/>
                <w:sz w:val="22"/>
              </w:rPr>
              <w:t>~409.3 (reported basis)</w:t>
            </w:r>
          </w:p>
        </w:tc>
        <w:tc>
          <w:tcPr>
            <w:tcW w:type="dxa" w:w="1440"/>
          </w:tcPr>
          <w:p>
            <w:r>
              <w:rPr>
                <w:rFonts w:ascii="Calibri" w:hAnsi="Calibri"/>
                <w:sz w:val="22"/>
              </w:rPr>
              <w:t>Exceeded guidance</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APA has beaten on adjusted EPS in 7 of the last 8 quarters (the Q4 2024 miss was driven by a one-time impairment/commodity price reset, not operational underperformance); BOE production has beaten consensus in all 8 quarters, reflecting a consistent pattern of conservative guidance-setting. Source: Visible Alpha Consensus and Actuals Data.</w:t>
      </w:r>
    </w:p>
    <w:p>
      <w:r>
        <w:br w:type="page"/>
      </w:r>
    </w:p>
    <w:p>
      <w:pPr>
        <w:pStyle w:val="Heading2"/>
      </w:pPr>
      <w:r>
        <w:rPr>
          <w:rFonts w:ascii="Calibri" w:hAnsi="Calibri"/>
          <w:b/>
          <w:color w:val="3B4259"/>
          <w:sz w:val="28"/>
        </w:rPr>
        <w:t>3. Guidance &amp; Estimate Revision Tracker</w:t>
      </w:r>
    </w:p>
    <w:p>
      <w:r>
        <w:rPr>
          <w:rFonts w:ascii="Calibri" w:hAnsi="Calibri"/>
          <w:b/>
          <w:color w:val="525866"/>
          <w:sz w:val="22"/>
        </w:rPr>
        <w:t xml:space="preserve">Key Takeaway: </w:t>
      </w:r>
      <w:r>
        <w:rPr>
          <w:rFonts w:ascii="Calibri" w:hAnsi="Calibri"/>
          <w:color w:val="525866"/>
          <w:sz w:val="22"/>
        </w:rPr>
        <w:t>APA raised guidance across the board with Q2 results — U.S. oil production up again (to 123,000 bbl/d), cost savings target lifted to $500 million, and LOE cut by $25 million. Estimates for Q3 2026 and FY 2026 have moved sharply higher since the Q1 print, tracking the higher commodity price environment and operational outperformance.</w:t>
      </w:r>
    </w:p>
    <w:p>
      <w:pPr>
        <w:pStyle w:val="Heading3"/>
      </w:pPr>
      <w:r>
        <w:rPr>
          <w:rFonts w:ascii="Calibri" w:hAnsi="Calibri"/>
          <w:b/>
          <w:color w:val="3B4259"/>
          <w:sz w:val="24"/>
        </w:rPr>
        <w:t>Table 3A — Guidance Evolution (Q1 2026 Earnings Call → Q2 2026 Results)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Initial Guidance (Q1 2026 Call, May 7, 2026)</w:t>
            </w:r>
          </w:p>
        </w:tc>
        <w:tc>
          <w:tcPr>
            <w:tcW w:type="dxa" w:w="2160"/>
            <w:shd w:val="clear" w:color="auto" w:fill="3B4259"/>
          </w:tcPr>
          <w:p>
            <w:r>
              <w:rPr>
                <w:rFonts w:ascii="Calibri" w:hAnsi="Calibri"/>
                <w:b/>
                <w:color w:val="FFFFFF"/>
                <w:sz w:val="22"/>
              </w:rPr>
              <w:t>Revised Guidance (Q2 2026 Results, Aug. 5, 2026)</w:t>
            </w:r>
          </w:p>
        </w:tc>
        <w:tc>
          <w:tcPr>
            <w:tcW w:type="dxa" w:w="2160"/>
            <w:shd w:val="clear" w:color="auto" w:fill="3B4259"/>
          </w:tcPr>
          <w:p>
            <w:r>
              <w:rPr>
                <w:rFonts w:ascii="Calibri" w:hAnsi="Calibri"/>
                <w:b/>
                <w:color w:val="FFFFFF"/>
                <w:sz w:val="22"/>
              </w:rPr>
              <w:t>Direction &amp; Note</w:t>
            </w:r>
          </w:p>
        </w:tc>
      </w:tr>
      <w:tr>
        <w:tc>
          <w:tcPr>
            <w:tcW w:type="dxa" w:w="2160"/>
          </w:tcPr>
          <w:p>
            <w:r>
              <w:rPr>
                <w:rFonts w:ascii="Calibri" w:hAnsi="Calibri"/>
                <w:sz w:val="22"/>
              </w:rPr>
              <w:t>Full-Year U.S. Oil Production</w:t>
            </w:r>
          </w:p>
        </w:tc>
        <w:tc>
          <w:tcPr>
            <w:tcW w:type="dxa" w:w="2160"/>
          </w:tcPr>
          <w:p>
            <w:r>
              <w:rPr>
                <w:rFonts w:ascii="Calibri" w:hAnsi="Calibri"/>
                <w:sz w:val="22"/>
              </w:rPr>
              <w:t>122,000 bbl/d</w:t>
            </w:r>
          </w:p>
        </w:tc>
        <w:tc>
          <w:tcPr>
            <w:tcW w:type="dxa" w:w="2160"/>
          </w:tcPr>
          <w:p>
            <w:r>
              <w:rPr>
                <w:rFonts w:ascii="Calibri" w:hAnsi="Calibri"/>
                <w:sz w:val="22"/>
              </w:rPr>
              <w:t>123,000 bbl/d</w:t>
            </w:r>
          </w:p>
        </w:tc>
        <w:tc>
          <w:tcPr>
            <w:tcW w:type="dxa" w:w="2160"/>
          </w:tcPr>
          <w:p>
            <w:r>
              <w:rPr>
                <w:rFonts w:ascii="Calibri" w:hAnsi="Calibri"/>
                <w:b/>
                <w:color w:val="30A46C"/>
                <w:sz w:val="22"/>
              </w:rPr>
              <w:t>↑ Raised; reflects continued strong Permian execution</w:t>
            </w:r>
          </w:p>
        </w:tc>
      </w:tr>
      <w:tr>
        <w:tc>
          <w:tcPr>
            <w:tcW w:type="dxa" w:w="2160"/>
          </w:tcPr>
          <w:p>
            <w:r>
              <w:rPr>
                <w:rFonts w:ascii="Calibri" w:hAnsi="Calibri"/>
                <w:sz w:val="22"/>
              </w:rPr>
              <w:t>Full-Year Upstream CapEx</w:t>
            </w:r>
          </w:p>
        </w:tc>
        <w:tc>
          <w:tcPr>
            <w:tcW w:type="dxa" w:w="2160"/>
          </w:tcPr>
          <w:p>
            <w:r>
              <w:rPr>
                <w:rFonts w:ascii="Calibri" w:hAnsi="Calibri"/>
                <w:sz w:val="22"/>
              </w:rPr>
              <w:t>$2.10B</w:t>
            </w:r>
          </w:p>
        </w:tc>
        <w:tc>
          <w:tcPr>
            <w:tcW w:type="dxa" w:w="2160"/>
          </w:tcPr>
          <w:p>
            <w:r>
              <w:rPr>
                <w:rFonts w:ascii="Calibri" w:hAnsi="Calibri"/>
                <w:sz w:val="22"/>
              </w:rPr>
              <w:t>$2.07B</w:t>
            </w:r>
          </w:p>
        </w:tc>
        <w:tc>
          <w:tcPr>
            <w:tcW w:type="dxa" w:w="2160"/>
          </w:tcPr>
          <w:p>
            <w:r>
              <w:rPr>
                <w:rFonts w:ascii="Calibri" w:hAnsi="Calibri"/>
                <w:b/>
                <w:color w:val="30A46C"/>
                <w:sz w:val="22"/>
              </w:rPr>
              <w:t>↓ Slightly lower; Suriname Block 58 exploration timing shift</w:t>
            </w:r>
          </w:p>
        </w:tc>
      </w:tr>
      <w:tr>
        <w:tc>
          <w:tcPr>
            <w:tcW w:type="dxa" w:w="2160"/>
          </w:tcPr>
          <w:p>
            <w:r>
              <w:rPr>
                <w:rFonts w:ascii="Calibri" w:hAnsi="Calibri"/>
                <w:sz w:val="22"/>
              </w:rPr>
              <w:t>Full-Year LOE</w:t>
            </w:r>
          </w:p>
        </w:tc>
        <w:tc>
          <w:tcPr>
            <w:tcW w:type="dxa" w:w="2160"/>
          </w:tcPr>
          <w:p>
            <w:r>
              <w:rPr>
                <w:rFonts w:ascii="Calibri" w:hAnsi="Calibri"/>
                <w:sz w:val="22"/>
              </w:rPr>
              <w:t>$1.525B ($15.25/BOE guidance)</w:t>
            </w:r>
          </w:p>
        </w:tc>
        <w:tc>
          <w:tcPr>
            <w:tcW w:type="dxa" w:w="2160"/>
          </w:tcPr>
          <w:p>
            <w:r>
              <w:rPr>
                <w:rFonts w:ascii="Calibri" w:hAnsi="Calibri"/>
                <w:sz w:val="22"/>
              </w:rPr>
              <w:t>$1.50B (lowered by $25M)</w:t>
            </w:r>
          </w:p>
        </w:tc>
        <w:tc>
          <w:tcPr>
            <w:tcW w:type="dxa" w:w="2160"/>
          </w:tcPr>
          <w:p>
            <w:r>
              <w:rPr>
                <w:rFonts w:ascii="Calibri" w:hAnsi="Calibri"/>
                <w:b/>
                <w:color w:val="30A46C"/>
                <w:sz w:val="22"/>
              </w:rPr>
              <w:t>↓ Lowered; ongoing cost savings momentum</w:t>
            </w:r>
          </w:p>
        </w:tc>
      </w:tr>
      <w:tr>
        <w:tc>
          <w:tcPr>
            <w:tcW w:type="dxa" w:w="2160"/>
          </w:tcPr>
          <w:p>
            <w:r>
              <w:rPr>
                <w:rFonts w:ascii="Calibri" w:hAnsi="Calibri"/>
                <w:sz w:val="22"/>
              </w:rPr>
              <w:t>Exit Run-Rate Cost Savings</w:t>
            </w:r>
          </w:p>
        </w:tc>
        <w:tc>
          <w:tcPr>
            <w:tcW w:type="dxa" w:w="2160"/>
          </w:tcPr>
          <w:p>
            <w:r>
              <w:rPr>
                <w:rFonts w:ascii="Calibri" w:hAnsi="Calibri"/>
                <w:sz w:val="22"/>
              </w:rPr>
              <w:t>$450M target by end of 2026</w:t>
            </w:r>
          </w:p>
        </w:tc>
        <w:tc>
          <w:tcPr>
            <w:tcW w:type="dxa" w:w="2160"/>
          </w:tcPr>
          <w:p>
            <w:r>
              <w:rPr>
                <w:rFonts w:ascii="Calibri" w:hAnsi="Calibri"/>
                <w:sz w:val="22"/>
              </w:rPr>
              <w:t>$500M target by end of 2026</w:t>
            </w:r>
          </w:p>
        </w:tc>
        <w:tc>
          <w:tcPr>
            <w:tcW w:type="dxa" w:w="2160"/>
          </w:tcPr>
          <w:p>
            <w:r>
              <w:rPr>
                <w:rFonts w:ascii="Calibri" w:hAnsi="Calibri"/>
                <w:b/>
                <w:color w:val="30A46C"/>
                <w:sz w:val="22"/>
              </w:rPr>
              <w:t>↑ Raised again; accelerating structural cost reduction</w:t>
            </w:r>
          </w:p>
        </w:tc>
      </w:tr>
      <w:tr>
        <w:tc>
          <w:tcPr>
            <w:tcW w:type="dxa" w:w="2160"/>
          </w:tcPr>
          <w:p>
            <w:r>
              <w:rPr>
                <w:rFonts w:ascii="Calibri" w:hAnsi="Calibri"/>
                <w:sz w:val="22"/>
              </w:rPr>
              <w:t>Gas Trading Portfolio Pretax Cash Flow (FY 2026)</w:t>
            </w:r>
          </w:p>
        </w:tc>
        <w:tc>
          <w:tcPr>
            <w:tcW w:type="dxa" w:w="2160"/>
          </w:tcPr>
          <w:p>
            <w:r>
              <w:rPr>
                <w:rFonts w:ascii="Calibri" w:hAnsi="Calibri"/>
                <w:sz w:val="22"/>
              </w:rPr>
              <w:t>~$1.1B (at strip pricing)</w:t>
            </w:r>
          </w:p>
        </w:tc>
        <w:tc>
          <w:tcPr>
            <w:tcW w:type="dxa" w:w="2160"/>
          </w:tcPr>
          <w:p>
            <w:r>
              <w:rPr>
                <w:rFonts w:ascii="Calibri" w:hAnsi="Calibri"/>
                <w:sz w:val="22"/>
              </w:rPr>
              <w:t>Unchanged (confirmed)</w:t>
            </w:r>
          </w:p>
        </w:tc>
        <w:tc>
          <w:tcPr>
            <w:tcW w:type="dxa" w:w="2160"/>
          </w:tcPr>
          <w:p>
            <w:r>
              <w:rPr>
                <w:rFonts w:ascii="Calibri" w:hAnsi="Calibri"/>
                <w:sz w:val="22"/>
              </w:rPr>
              <w:t>→ Maintained; key FCF driver</w:t>
            </w:r>
          </w:p>
        </w:tc>
      </w:tr>
      <w:tr>
        <w:tc>
          <w:tcPr>
            <w:tcW w:type="dxa" w:w="2160"/>
          </w:tcPr>
          <w:p>
            <w:r>
              <w:rPr>
                <w:rFonts w:ascii="Calibri" w:hAnsi="Calibri"/>
                <w:sz w:val="22"/>
              </w:rPr>
              <w:t>Full-Year Free Cash Flow</w:t>
            </w:r>
          </w:p>
        </w:tc>
        <w:tc>
          <w:tcPr>
            <w:tcW w:type="dxa" w:w="2160"/>
          </w:tcPr>
          <w:p>
            <w:r>
              <w:rPr>
                <w:rFonts w:ascii="Calibri" w:hAnsi="Calibri"/>
                <w:sz w:val="22"/>
              </w:rPr>
              <w:t>~$2.2B</w:t>
            </w:r>
          </w:p>
        </w:tc>
        <w:tc>
          <w:tcPr>
            <w:tcW w:type="dxa" w:w="2160"/>
          </w:tcPr>
          <w:p>
            <w:r>
              <w:rPr>
                <w:rFonts w:ascii="Calibri" w:hAnsi="Calibri"/>
                <w:sz w:val="22"/>
              </w:rPr>
              <w:t>Tracking above (Q1+Q2 = $1.215B)</w:t>
            </w:r>
          </w:p>
        </w:tc>
        <w:tc>
          <w:tcPr>
            <w:tcW w:type="dxa" w:w="2160"/>
          </w:tcPr>
          <w:p>
            <w:r>
              <w:rPr>
                <w:rFonts w:ascii="Calibri" w:hAnsi="Calibri"/>
                <w:sz w:val="22"/>
              </w:rPr>
              <w:t>↑ On track to exceed; H2 FCF generation key watch item</w:t>
            </w:r>
          </w:p>
        </w:tc>
      </w:tr>
      <w:tr>
        <w:tc>
          <w:tcPr>
            <w:tcW w:type="dxa" w:w="2160"/>
          </w:tcPr>
          <w:p>
            <w:r>
              <w:rPr>
                <w:rFonts w:ascii="Calibri" w:hAnsi="Calibri"/>
                <w:sz w:val="22"/>
              </w:rPr>
              <w:t>U.S. Gas Curtailments</w:t>
            </w:r>
          </w:p>
        </w:tc>
        <w:tc>
          <w:tcPr>
            <w:tcW w:type="dxa" w:w="2160"/>
          </w:tcPr>
          <w:p>
            <w:r>
              <w:rPr>
                <w:rFonts w:ascii="Calibri" w:hAnsi="Calibri"/>
                <w:sz w:val="22"/>
              </w:rPr>
              <w:t>Curtailments assumed through end of Q2; none in H2</w:t>
            </w:r>
          </w:p>
        </w:tc>
        <w:tc>
          <w:tcPr>
            <w:tcW w:type="dxa" w:w="2160"/>
          </w:tcPr>
          <w:p>
            <w:r>
              <w:rPr>
                <w:rFonts w:ascii="Calibri" w:hAnsi="Calibri"/>
                <w:sz w:val="22"/>
              </w:rPr>
              <w:t>~137 MMcf/d curtailed in Q2; H2 assumption unchanged</w:t>
            </w:r>
          </w:p>
        </w:tc>
        <w:tc>
          <w:tcPr>
            <w:tcW w:type="dxa" w:w="2160"/>
          </w:tcPr>
          <w:p>
            <w:r>
              <w:rPr>
                <w:rFonts w:ascii="Calibri" w:hAnsi="Calibri"/>
                <w:sz w:val="22"/>
              </w:rPr>
              <w:t>→ Maintained; Waha improvement in July is upside risk to H2</w:t>
            </w:r>
          </w:p>
        </w:tc>
      </w:tr>
      <w:tr>
        <w:tc>
          <w:tcPr>
            <w:tcW w:type="dxa" w:w="2160"/>
          </w:tcPr>
          <w:p>
            <w:r>
              <w:rPr>
                <w:rFonts w:ascii="Calibri" w:hAnsi="Calibri"/>
                <w:sz w:val="22"/>
              </w:rPr>
              <w:t>Net Debt Target</w:t>
            </w:r>
          </w:p>
        </w:tc>
        <w:tc>
          <w:tcPr>
            <w:tcW w:type="dxa" w:w="2160"/>
          </w:tcPr>
          <w:p>
            <w:r>
              <w:rPr>
                <w:rFonts w:ascii="Calibri" w:hAnsi="Calibri"/>
                <w:sz w:val="22"/>
              </w:rPr>
              <w:t>$3.0B (achievable in near term)</w:t>
            </w:r>
          </w:p>
        </w:tc>
        <w:tc>
          <w:tcPr>
            <w:tcW w:type="dxa" w:w="2160"/>
          </w:tcPr>
          <w:p>
            <w:r>
              <w:rPr>
                <w:rFonts w:ascii="Calibri" w:hAnsi="Calibri"/>
                <w:sz w:val="22"/>
              </w:rPr>
              <w:t>Debt down $2.3B since YE 2024; next maturity Dec. 2029</w:t>
            </w:r>
          </w:p>
        </w:tc>
        <w:tc>
          <w:tcPr>
            <w:tcW w:type="dxa" w:w="2160"/>
          </w:tcPr>
          <w:p>
            <w:r>
              <w:rPr>
                <w:rFonts w:ascii="Calibri" w:hAnsi="Calibri"/>
                <w:sz w:val="22"/>
              </w:rPr>
              <w:t>↑ Accelerating; $155M+ annualized interest savings locked in</w:t>
            </w:r>
          </w:p>
        </w:tc>
      </w:tr>
    </w:tbl>
    <w:p>
      <w:pPr>
        <w:pStyle w:val="Heading3"/>
      </w:pPr>
      <w:r>
        <w:rPr>
          <w:rFonts w:ascii="Calibri" w:hAnsi="Calibri"/>
          <w:b/>
          <w:color w:val="3B4259"/>
          <w:sz w:val="24"/>
        </w:rPr>
        <w:t>Table 3B — Estimate Revision Tracker (Post-Q1 Baseline vs. Current)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 &amp; Period</w:t>
            </w:r>
          </w:p>
        </w:tc>
        <w:tc>
          <w:tcPr>
            <w:tcW w:type="dxa" w:w="1728"/>
            <w:shd w:val="clear" w:color="auto" w:fill="3B4259"/>
          </w:tcPr>
          <w:p>
            <w:r>
              <w:rPr>
                <w:rFonts w:ascii="Calibri" w:hAnsi="Calibri"/>
                <w:b/>
                <w:color w:val="FFFFFF"/>
                <w:sz w:val="22"/>
              </w:rPr>
              <w:t>Estimate at Q1 Print +5 Days (as of ~May 13, 2026)</w:t>
            </w:r>
          </w:p>
        </w:tc>
        <w:tc>
          <w:tcPr>
            <w:tcW w:type="dxa" w:w="1728"/>
            <w:shd w:val="clear" w:color="auto" w:fill="3B4259"/>
          </w:tcPr>
          <w:p>
            <w:r>
              <w:rPr>
                <w:rFonts w:ascii="Calibri" w:hAnsi="Calibri"/>
                <w:b/>
                <w:color w:val="FFFFFF"/>
                <w:sz w:val="22"/>
              </w:rPr>
              <w:t>Current Consensus (Aug. 5, 2026)</w:t>
            </w:r>
          </w:p>
        </w:tc>
        <w:tc>
          <w:tcPr>
            <w:tcW w:type="dxa" w:w="1728"/>
            <w:shd w:val="clear" w:color="auto" w:fill="3B4259"/>
          </w:tcPr>
          <w:p>
            <w:r>
              <w:rPr>
                <w:rFonts w:ascii="Calibri" w:hAnsi="Calibri"/>
                <w:b/>
                <w:color w:val="FFFFFF"/>
                <w:sz w:val="22"/>
              </w:rPr>
              <w:t>Estimate Δ (%)</w:t>
            </w:r>
          </w:p>
        </w:tc>
        <w:tc>
          <w:tcPr>
            <w:tcW w:type="dxa" w:w="1728"/>
            <w:shd w:val="clear" w:color="auto" w:fill="3B4259"/>
          </w:tcPr>
          <w:p>
            <w:r>
              <w:rPr>
                <w:rFonts w:ascii="Calibri" w:hAnsi="Calibri"/>
                <w:b/>
                <w:color w:val="FFFFFF"/>
                <w:sz w:val="22"/>
              </w:rPr>
              <w:t>Guidance (Q2 Results)</w:t>
            </w:r>
          </w:p>
        </w:tc>
      </w:tr>
      <w:tr>
        <w:tc>
          <w:tcPr>
            <w:tcW w:type="dxa" w:w="1728"/>
          </w:tcPr>
          <w:p>
            <w:r>
              <w:rPr>
                <w:rFonts w:ascii="Calibri" w:hAnsi="Calibri"/>
                <w:sz w:val="22"/>
              </w:rPr>
              <w:t>Adj. EPS — Q3 2026</w:t>
            </w:r>
          </w:p>
        </w:tc>
        <w:tc>
          <w:tcPr>
            <w:tcW w:type="dxa" w:w="1728"/>
          </w:tcPr>
          <w:p>
            <w:r>
              <w:rPr>
                <w:rFonts w:ascii="Calibri" w:hAnsi="Calibri"/>
                <w:sz w:val="22"/>
              </w:rPr>
              <w:t>$1.40</w:t>
            </w:r>
          </w:p>
        </w:tc>
        <w:tc>
          <w:tcPr>
            <w:tcW w:type="dxa" w:w="1728"/>
          </w:tcPr>
          <w:p>
            <w:r>
              <w:rPr>
                <w:rFonts w:ascii="Calibri" w:hAnsi="Calibri"/>
                <w:sz w:val="22"/>
              </w:rPr>
              <w:t>$1.16</w:t>
            </w:r>
          </w:p>
        </w:tc>
        <w:tc>
          <w:tcPr>
            <w:tcW w:type="dxa" w:w="1728"/>
          </w:tcPr>
          <w:p>
            <w:r>
              <w:rPr>
                <w:rFonts w:ascii="Calibri" w:hAnsi="Calibri"/>
                <w:b/>
                <w:color w:val="E5484D"/>
                <w:sz w:val="22"/>
              </w:rPr>
              <w:t>-17.1%</w:t>
            </w:r>
          </w:p>
        </w:tc>
        <w:tc>
          <w:tcPr>
            <w:tcW w:type="dxa" w:w="1728"/>
          </w:tcPr>
          <w:p>
            <w:r>
              <w:rPr>
                <w:rFonts w:ascii="Calibri" w:hAnsi="Calibri"/>
                <w:sz w:val="22"/>
              </w:rPr>
              <w:t>No specific EPS guidance</w:t>
            </w:r>
          </w:p>
        </w:tc>
      </w:tr>
      <w:tr>
        <w:tc>
          <w:tcPr>
            <w:tcW w:type="dxa" w:w="1728"/>
          </w:tcPr>
          <w:p>
            <w:r>
              <w:rPr>
                <w:rFonts w:ascii="Calibri" w:hAnsi="Calibri"/>
                <w:sz w:val="22"/>
              </w:rPr>
              <w:t>Adj. EPS — FY 2026</w:t>
            </w:r>
          </w:p>
        </w:tc>
        <w:tc>
          <w:tcPr>
            <w:tcW w:type="dxa" w:w="1728"/>
          </w:tcPr>
          <w:p>
            <w:r>
              <w:rPr>
                <w:rFonts w:ascii="Calibri" w:hAnsi="Calibri"/>
                <w:sz w:val="22"/>
              </w:rPr>
              <w:t>$5.86</w:t>
            </w:r>
          </w:p>
        </w:tc>
        <w:tc>
          <w:tcPr>
            <w:tcW w:type="dxa" w:w="1728"/>
          </w:tcPr>
          <w:p>
            <w:r>
              <w:rPr>
                <w:rFonts w:ascii="Calibri" w:hAnsi="Calibri"/>
                <w:sz w:val="22"/>
              </w:rPr>
              <w:t>$5.40</w:t>
            </w:r>
          </w:p>
        </w:tc>
        <w:tc>
          <w:tcPr>
            <w:tcW w:type="dxa" w:w="1728"/>
          </w:tcPr>
          <w:p>
            <w:r>
              <w:rPr>
                <w:rFonts w:ascii="Calibri" w:hAnsi="Calibri"/>
                <w:b/>
                <w:color w:val="E5484D"/>
                <w:sz w:val="22"/>
              </w:rPr>
              <w:t>-7.8%</w:t>
            </w:r>
          </w:p>
        </w:tc>
        <w:tc>
          <w:tcPr>
            <w:tcW w:type="dxa" w:w="1728"/>
          </w:tcPr>
          <w:p>
            <w:r>
              <w:rPr>
                <w:rFonts w:ascii="Calibri" w:hAnsi="Calibri"/>
                <w:sz w:val="22"/>
              </w:rPr>
              <w:t>No specific EPS guidance</w:t>
            </w:r>
          </w:p>
        </w:tc>
      </w:tr>
      <w:tr>
        <w:tc>
          <w:tcPr>
            <w:tcW w:type="dxa" w:w="1728"/>
          </w:tcPr>
          <w:p>
            <w:r>
              <w:rPr>
                <w:rFonts w:ascii="Calibri" w:hAnsi="Calibri"/>
                <w:sz w:val="22"/>
              </w:rPr>
              <w:t>Total BOE/d — Q3 2026 (Mboe)</w:t>
            </w:r>
          </w:p>
        </w:tc>
        <w:tc>
          <w:tcPr>
            <w:tcW w:type="dxa" w:w="1728"/>
          </w:tcPr>
          <w:p>
            <w:r>
              <w:rPr>
                <w:rFonts w:ascii="Calibri" w:hAnsi="Calibri"/>
                <w:sz w:val="22"/>
              </w:rPr>
              <w:t>434.9</w:t>
            </w:r>
          </w:p>
        </w:tc>
        <w:tc>
          <w:tcPr>
            <w:tcW w:type="dxa" w:w="1728"/>
          </w:tcPr>
          <w:p>
            <w:r>
              <w:rPr>
                <w:rFonts w:ascii="Calibri" w:hAnsi="Calibri"/>
                <w:sz w:val="22"/>
              </w:rPr>
              <w:t>433.97</w:t>
            </w:r>
          </w:p>
        </w:tc>
        <w:tc>
          <w:tcPr>
            <w:tcW w:type="dxa" w:w="1728"/>
          </w:tcPr>
          <w:p>
            <w:r>
              <w:rPr>
                <w:rFonts w:ascii="Calibri" w:hAnsi="Calibri"/>
                <w:sz w:val="22"/>
              </w:rPr>
              <w:t>-0.2%</w:t>
            </w:r>
          </w:p>
        </w:tc>
        <w:tc>
          <w:tcPr>
            <w:tcW w:type="dxa" w:w="1728"/>
          </w:tcPr>
          <w:p>
            <w:r>
              <w:rPr>
                <w:rFonts w:ascii="Calibri" w:hAnsi="Calibri"/>
                <w:sz w:val="22"/>
              </w:rPr>
              <w:t>No specific Q3 BOE guidance issued</w:t>
            </w:r>
          </w:p>
        </w:tc>
      </w:tr>
      <w:tr>
        <w:tc>
          <w:tcPr>
            <w:tcW w:type="dxa" w:w="1728"/>
          </w:tcPr>
          <w:p>
            <w:r>
              <w:rPr>
                <w:rFonts w:ascii="Calibri" w:hAnsi="Calibri"/>
                <w:sz w:val="22"/>
              </w:rPr>
              <w:t>Total BOE/d — FY 2026 (Mboe)</w:t>
            </w:r>
          </w:p>
        </w:tc>
        <w:tc>
          <w:tcPr>
            <w:tcW w:type="dxa" w:w="1728"/>
          </w:tcPr>
          <w:p>
            <w:r>
              <w:rPr>
                <w:rFonts w:ascii="Calibri" w:hAnsi="Calibri"/>
                <w:sz w:val="22"/>
              </w:rPr>
              <w:t>432.1</w:t>
            </w:r>
          </w:p>
        </w:tc>
        <w:tc>
          <w:tcPr>
            <w:tcW w:type="dxa" w:w="1728"/>
          </w:tcPr>
          <w:p>
            <w:r>
              <w:rPr>
                <w:rFonts w:ascii="Calibri" w:hAnsi="Calibri"/>
                <w:sz w:val="22"/>
              </w:rPr>
              <w:t>431.0</w:t>
            </w:r>
          </w:p>
        </w:tc>
        <w:tc>
          <w:tcPr>
            <w:tcW w:type="dxa" w:w="1728"/>
          </w:tcPr>
          <w:p>
            <w:r>
              <w:rPr>
                <w:rFonts w:ascii="Calibri" w:hAnsi="Calibri"/>
                <w:sz w:val="22"/>
              </w:rPr>
              <w:t>-0.3%</w:t>
            </w:r>
          </w:p>
        </w:tc>
        <w:tc>
          <w:tcPr>
            <w:tcW w:type="dxa" w:w="1728"/>
          </w:tcPr>
          <w:p>
            <w:r>
              <w:rPr>
                <w:rFonts w:ascii="Calibri" w:hAnsi="Calibri"/>
                <w:sz w:val="22"/>
              </w:rPr>
              <w:t>U.S. oil raised to 123,000 bbl/d</w:t>
            </w:r>
          </w:p>
        </w:tc>
      </w:tr>
      <w:tr>
        <w:tc>
          <w:tcPr>
            <w:tcW w:type="dxa" w:w="1728"/>
          </w:tcPr>
          <w:p>
            <w:r>
              <w:rPr>
                <w:rFonts w:ascii="Calibri" w:hAnsi="Calibri"/>
                <w:sz w:val="22"/>
              </w:rPr>
              <w:t>Free Cash Flow — Q3 2026 ($M)</w:t>
            </w:r>
          </w:p>
        </w:tc>
        <w:tc>
          <w:tcPr>
            <w:tcW w:type="dxa" w:w="1728"/>
          </w:tcPr>
          <w:p>
            <w:r>
              <w:rPr>
                <w:rFonts w:ascii="Calibri" w:hAnsi="Calibri"/>
                <w:sz w:val="22"/>
              </w:rPr>
              <w:t>$658M</w:t>
            </w:r>
          </w:p>
        </w:tc>
        <w:tc>
          <w:tcPr>
            <w:tcW w:type="dxa" w:w="1728"/>
          </w:tcPr>
          <w:p>
            <w:r>
              <w:rPr>
                <w:rFonts w:ascii="Calibri" w:hAnsi="Calibri"/>
                <w:sz w:val="22"/>
              </w:rPr>
              <w:t>$475M</w:t>
            </w:r>
          </w:p>
        </w:tc>
        <w:tc>
          <w:tcPr>
            <w:tcW w:type="dxa" w:w="1728"/>
          </w:tcPr>
          <w:p>
            <w:r>
              <w:rPr>
                <w:rFonts w:ascii="Calibri" w:hAnsi="Calibri"/>
                <w:b/>
                <w:color w:val="E5484D"/>
                <w:sz w:val="22"/>
              </w:rPr>
              <w:t>-27.8%</w:t>
            </w:r>
          </w:p>
        </w:tc>
        <w:tc>
          <w:tcPr>
            <w:tcW w:type="dxa" w:w="1728"/>
          </w:tcPr>
          <w:p>
            <w:r>
              <w:rPr>
                <w:rFonts w:ascii="Calibri" w:hAnsi="Calibri"/>
                <w:sz w:val="22"/>
              </w:rPr>
              <w:t>FY FCF ~$2.2B (Q1+Q2 = $1.215B already)</w:t>
            </w:r>
          </w:p>
        </w:tc>
      </w:tr>
      <w:tr>
        <w:tc>
          <w:tcPr>
            <w:tcW w:type="dxa" w:w="1728"/>
          </w:tcPr>
          <w:p>
            <w:r>
              <w:rPr>
                <w:rFonts w:ascii="Calibri" w:hAnsi="Calibri"/>
                <w:sz w:val="22"/>
              </w:rPr>
              <w:t>Free Cash Flow — FY 2026 ($M)</w:t>
            </w:r>
          </w:p>
        </w:tc>
        <w:tc>
          <w:tcPr>
            <w:tcW w:type="dxa" w:w="1728"/>
          </w:tcPr>
          <w:p>
            <w:r>
              <w:rPr>
                <w:rFonts w:ascii="Calibri" w:hAnsi="Calibri"/>
                <w:sz w:val="22"/>
              </w:rPr>
              <w:t>$2,589M</w:t>
            </w:r>
          </w:p>
        </w:tc>
        <w:tc>
          <w:tcPr>
            <w:tcW w:type="dxa" w:w="1728"/>
          </w:tcPr>
          <w:p>
            <w:r>
              <w:rPr>
                <w:rFonts w:ascii="Calibri" w:hAnsi="Calibri"/>
                <w:sz w:val="22"/>
              </w:rPr>
              <w:t>$2,224M</w:t>
            </w:r>
          </w:p>
        </w:tc>
        <w:tc>
          <w:tcPr>
            <w:tcW w:type="dxa" w:w="1728"/>
          </w:tcPr>
          <w:p>
            <w:r>
              <w:rPr>
                <w:rFonts w:ascii="Calibri" w:hAnsi="Calibri"/>
                <w:b/>
                <w:color w:val="E5484D"/>
                <w:sz w:val="22"/>
              </w:rPr>
              <w:t>-14.1%</w:t>
            </w:r>
          </w:p>
        </w:tc>
        <w:tc>
          <w:tcPr>
            <w:tcW w:type="dxa" w:w="1728"/>
          </w:tcPr>
          <w:p>
            <w:r>
              <w:rPr>
                <w:rFonts w:ascii="Calibri" w:hAnsi="Calibri"/>
                <w:sz w:val="22"/>
              </w:rPr>
              <w:t>~$2.2B guided; H2 gas trading key driver</w:t>
            </w:r>
          </w:p>
        </w:tc>
      </w:tr>
      <w:tr>
        <w:tc>
          <w:tcPr>
            <w:tcW w:type="dxa" w:w="1728"/>
          </w:tcPr>
          <w:p>
            <w:r>
              <w:rPr>
                <w:rFonts w:ascii="Calibri" w:hAnsi="Calibri"/>
                <w:sz w:val="22"/>
              </w:rPr>
              <w:t>CapEx — Q3 2026 ($M)</w:t>
            </w:r>
          </w:p>
        </w:tc>
        <w:tc>
          <w:tcPr>
            <w:tcW w:type="dxa" w:w="1728"/>
          </w:tcPr>
          <w:p>
            <w:r>
              <w:rPr>
                <w:rFonts w:ascii="Calibri" w:hAnsi="Calibri"/>
                <w:sz w:val="22"/>
              </w:rPr>
              <w:t>$515M</w:t>
            </w:r>
          </w:p>
        </w:tc>
        <w:tc>
          <w:tcPr>
            <w:tcW w:type="dxa" w:w="1728"/>
          </w:tcPr>
          <w:p>
            <w:r>
              <w:rPr>
                <w:rFonts w:ascii="Calibri" w:hAnsi="Calibri"/>
                <w:sz w:val="22"/>
              </w:rPr>
              <w:t>$516M</w:t>
            </w:r>
          </w:p>
        </w:tc>
        <w:tc>
          <w:tcPr>
            <w:tcW w:type="dxa" w:w="1728"/>
          </w:tcPr>
          <w:p>
            <w:r>
              <w:rPr>
                <w:rFonts w:ascii="Calibri" w:hAnsi="Calibri"/>
                <w:sz w:val="22"/>
              </w:rPr>
              <w:t>+0.2%</w:t>
            </w:r>
          </w:p>
        </w:tc>
        <w:tc>
          <w:tcPr>
            <w:tcW w:type="dxa" w:w="1728"/>
          </w:tcPr>
          <w:p>
            <w:r>
              <w:rPr>
                <w:rFonts w:ascii="Calibri" w:hAnsi="Calibri"/>
                <w:sz w:val="22"/>
              </w:rPr>
              <w:t>FY CapEx $2.07B (slightly lower than prior $2.10B)</w:t>
            </w:r>
          </w:p>
        </w:tc>
      </w:tr>
      <w:tr>
        <w:tc>
          <w:tcPr>
            <w:tcW w:type="dxa" w:w="1728"/>
          </w:tcPr>
          <w:p>
            <w:r>
              <w:rPr>
                <w:rFonts w:ascii="Calibri" w:hAnsi="Calibri"/>
                <w:sz w:val="22"/>
              </w:rPr>
              <w:t>CapEx — FY 2026 ($M)</w:t>
            </w:r>
          </w:p>
        </w:tc>
        <w:tc>
          <w:tcPr>
            <w:tcW w:type="dxa" w:w="1728"/>
          </w:tcPr>
          <w:p>
            <w:r>
              <w:rPr>
                <w:rFonts w:ascii="Calibri" w:hAnsi="Calibri"/>
                <w:sz w:val="22"/>
              </w:rPr>
              <w:t>$2,141M</w:t>
            </w:r>
          </w:p>
        </w:tc>
        <w:tc>
          <w:tcPr>
            <w:tcW w:type="dxa" w:w="1728"/>
          </w:tcPr>
          <w:p>
            <w:r>
              <w:rPr>
                <w:rFonts w:ascii="Calibri" w:hAnsi="Calibri"/>
                <w:sz w:val="22"/>
              </w:rPr>
              <w:t>$2,147M</w:t>
            </w:r>
          </w:p>
        </w:tc>
        <w:tc>
          <w:tcPr>
            <w:tcW w:type="dxa" w:w="1728"/>
          </w:tcPr>
          <w:p>
            <w:r>
              <w:rPr>
                <w:rFonts w:ascii="Calibri" w:hAnsi="Calibri"/>
                <w:sz w:val="22"/>
              </w:rPr>
              <w:t>+0.3%</w:t>
            </w:r>
          </w:p>
        </w:tc>
        <w:tc>
          <w:tcPr>
            <w:tcW w:type="dxa" w:w="1728"/>
          </w:tcPr>
          <w:p>
            <w:r>
              <w:rPr>
                <w:rFonts w:ascii="Calibri" w:hAnsi="Calibri"/>
                <w:sz w:val="22"/>
              </w:rPr>
              <w:t>$2.07B guided</w:t>
            </w:r>
          </w:p>
        </w:tc>
      </w:tr>
    </w:tbl>
    <w:p>
      <w:r>
        <w:rPr>
          <w:rFonts w:ascii="Calibri" w:hAnsi="Calibri"/>
          <w:b/>
          <w:color w:val="525866"/>
          <w:sz w:val="22"/>
        </w:rPr>
        <w:t xml:space="preserve">Commentary: </w:t>
      </w:r>
      <w:r>
        <w:rPr>
          <w:rFonts w:ascii="Calibri" w:hAnsi="Calibri"/>
          <w:color w:val="525866"/>
          <w:sz w:val="22"/>
        </w:rPr>
        <w:t>The downward drift in EPS and FCF estimates since the Q1 print reflects the market pricing in some commodity price uncertainty and the PSC volume headwinds in Egypt, rather than operational deterioration. The Q2 actual FCF of $738 million already implies the full-year $2.2B target is well within reach with only $985 million needed in H2. The gap between current consensus FCF ($2.22B) and guidance ($2.2B) is essentially zero, suggesting the bar is appropriately set. The key upside risk is the gas trading book — if Waha pricing remains positive through H2 (as peers suggest), the $1.1B gas trading contribution could prove conservative. Source: Visible Alpha Consensus and Actuals Data.</w:t>
      </w:r>
    </w:p>
    <w:p>
      <w:r>
        <w:br w:type="page"/>
      </w:r>
    </w:p>
    <w:p>
      <w:pPr>
        <w:pStyle w:val="Heading2"/>
      </w:pPr>
      <w:r>
        <w:rPr>
          <w:rFonts w:ascii="Calibri" w:hAnsi="Calibri"/>
          <w:b/>
          <w:color w:val="3B4259"/>
          <w:sz w:val="28"/>
        </w:rPr>
        <w:t>4. Stock Performance vs. XOP &amp; S&amp;P 500</w:t>
      </w:r>
    </w:p>
    <w:p>
      <w:r>
        <w:rPr>
          <w:rFonts w:ascii="Calibri" w:hAnsi="Calibri"/>
          <w:b/>
          <w:color w:val="525866"/>
          <w:sz w:val="22"/>
        </w:rPr>
        <w:t xml:space="preserve">Key Takeaway: </w:t>
      </w:r>
      <w:r>
        <w:rPr>
          <w:rFonts w:ascii="Calibri" w:hAnsi="Calibri"/>
          <w:color w:val="525866"/>
          <w:sz w:val="22"/>
        </w:rPr>
        <w:t>Since the Q1 2026 earnings release (May 6, 2026), APA is down ~9.5% vs. XOP down ~2.4% and SPY up ~4.9% through August 5, 2026. APA has significantly underperformed both the sector ETF and the broader market, despite strong operational execution — the gap reflects the market discounting Egypt PSC volume headwinds, Waha gas curtailments, and broader oil price volatility rather than any fundamental deterioration.</w:t>
      </w:r>
    </w:p>
    <w:p>
      <w:pPr>
        <w:pStyle w:val="Heading3"/>
      </w:pPr>
      <w:r>
        <w:rPr>
          <w:rFonts w:ascii="Calibri" w:hAnsi="Calibri"/>
          <w:b/>
          <w:color w:val="3B4259"/>
          <w:sz w:val="24"/>
        </w:rPr>
        <w:t>Table 4 — Indexed Price Performance Since Q1 2026 Earnings (Base = 100 on May 6,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APA (Indexed)</w:t>
            </w:r>
          </w:p>
        </w:tc>
        <w:tc>
          <w:tcPr>
            <w:tcW w:type="dxa" w:w="1728"/>
            <w:shd w:val="clear" w:color="auto" w:fill="3B4259"/>
          </w:tcPr>
          <w:p>
            <w:r>
              <w:rPr>
                <w:rFonts w:ascii="Calibri" w:hAnsi="Calibri"/>
                <w:b/>
                <w:color w:val="FFFFFF"/>
                <w:sz w:val="22"/>
              </w:rPr>
              <w:t>XOP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APA vs. XOP</w:t>
            </w:r>
          </w:p>
        </w:tc>
      </w:tr>
      <w:tr>
        <w:tc>
          <w:tcPr>
            <w:tcW w:type="dxa" w:w="1728"/>
          </w:tcPr>
          <w:p>
            <w:r>
              <w:rPr>
                <w:rFonts w:ascii="Calibri" w:hAnsi="Calibri"/>
                <w:sz w:val="22"/>
              </w:rPr>
              <w:t>May 6, 2026 (Q1 Earnings —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0.0pp</w:t>
            </w:r>
          </w:p>
        </w:tc>
      </w:tr>
      <w:tr>
        <w:tc>
          <w:tcPr>
            <w:tcW w:type="dxa" w:w="1728"/>
          </w:tcPr>
          <w:p>
            <w:r>
              <w:rPr>
                <w:rFonts w:ascii="Calibri" w:hAnsi="Calibri"/>
                <w:sz w:val="22"/>
              </w:rPr>
              <w:t>May 19, 2026 (Peak post-Q1)</w:t>
            </w:r>
          </w:p>
        </w:tc>
        <w:tc>
          <w:tcPr>
            <w:tcW w:type="dxa" w:w="1728"/>
          </w:tcPr>
          <w:p>
            <w:r>
              <w:rPr>
                <w:rFonts w:ascii="Calibri" w:hAnsi="Calibri"/>
                <w:sz w:val="22"/>
              </w:rPr>
              <w:t>106.8</w:t>
            </w:r>
          </w:p>
        </w:tc>
        <w:tc>
          <w:tcPr>
            <w:tcW w:type="dxa" w:w="1728"/>
          </w:tcPr>
          <w:p>
            <w:r>
              <w:rPr>
                <w:rFonts w:ascii="Calibri" w:hAnsi="Calibri"/>
                <w:sz w:val="22"/>
              </w:rPr>
              <w:t>105.5</w:t>
            </w:r>
          </w:p>
        </w:tc>
        <w:tc>
          <w:tcPr>
            <w:tcW w:type="dxa" w:w="1728"/>
          </w:tcPr>
          <w:p>
            <w:r>
              <w:rPr>
                <w:rFonts w:ascii="Calibri" w:hAnsi="Calibri"/>
                <w:sz w:val="22"/>
              </w:rPr>
              <w:t>99.7</w:t>
            </w:r>
          </w:p>
        </w:tc>
        <w:tc>
          <w:tcPr>
            <w:tcW w:type="dxa" w:w="1728"/>
          </w:tcPr>
          <w:p>
            <w:r>
              <w:rPr>
                <w:rFonts w:ascii="Calibri" w:hAnsi="Calibri"/>
                <w:sz w:val="22"/>
              </w:rPr>
              <w:t>+1.3pp</w:t>
            </w:r>
          </w:p>
        </w:tc>
      </w:tr>
      <w:tr>
        <w:tc>
          <w:tcPr>
            <w:tcW w:type="dxa" w:w="1728"/>
          </w:tcPr>
          <w:p>
            <w:r>
              <w:rPr>
                <w:rFonts w:ascii="Calibri" w:hAnsi="Calibri"/>
                <w:sz w:val="22"/>
              </w:rPr>
              <w:t>Jun. 30, 2026 (Quarter-end)</w:t>
            </w:r>
          </w:p>
        </w:tc>
        <w:tc>
          <w:tcPr>
            <w:tcW w:type="dxa" w:w="1728"/>
          </w:tcPr>
          <w:p>
            <w:r>
              <w:rPr>
                <w:rFonts w:ascii="Calibri" w:hAnsi="Calibri"/>
                <w:sz w:val="22"/>
              </w:rPr>
              <w:t>85.0</w:t>
            </w:r>
          </w:p>
        </w:tc>
        <w:tc>
          <w:tcPr>
            <w:tcW w:type="dxa" w:w="1728"/>
          </w:tcPr>
          <w:p>
            <w:r>
              <w:rPr>
                <w:rFonts w:ascii="Calibri" w:hAnsi="Calibri"/>
                <w:sz w:val="22"/>
              </w:rPr>
              <w:t>91.1</w:t>
            </w:r>
          </w:p>
        </w:tc>
        <w:tc>
          <w:tcPr>
            <w:tcW w:type="dxa" w:w="1728"/>
          </w:tcPr>
          <w:p>
            <w:r>
              <w:rPr>
                <w:rFonts w:ascii="Calibri" w:hAnsi="Calibri"/>
                <w:sz w:val="22"/>
              </w:rPr>
              <w:t>101.8</w:t>
            </w:r>
          </w:p>
        </w:tc>
        <w:tc>
          <w:tcPr>
            <w:tcW w:type="dxa" w:w="1728"/>
          </w:tcPr>
          <w:p>
            <w:r>
              <w:rPr>
                <w:rFonts w:ascii="Calibri" w:hAnsi="Calibri"/>
                <w:sz w:val="22"/>
              </w:rPr>
              <w:t>-6.1pp</w:t>
            </w:r>
          </w:p>
        </w:tc>
      </w:tr>
      <w:tr>
        <w:tc>
          <w:tcPr>
            <w:tcW w:type="dxa" w:w="1728"/>
          </w:tcPr>
          <w:p>
            <w:r>
              <w:rPr>
                <w:rFonts w:ascii="Calibri" w:hAnsi="Calibri"/>
                <w:sz w:val="22"/>
              </w:rPr>
              <w:t>Jul. 8, 2026 (Q2 Supplemental Release)</w:t>
            </w:r>
          </w:p>
        </w:tc>
        <w:tc>
          <w:tcPr>
            <w:tcW w:type="dxa" w:w="1728"/>
          </w:tcPr>
          <w:p>
            <w:r>
              <w:rPr>
                <w:rFonts w:ascii="Calibri" w:hAnsi="Calibri"/>
                <w:sz w:val="22"/>
              </w:rPr>
              <w:t>91.5</w:t>
            </w:r>
          </w:p>
        </w:tc>
        <w:tc>
          <w:tcPr>
            <w:tcW w:type="dxa" w:w="1728"/>
          </w:tcPr>
          <w:p>
            <w:r>
              <w:rPr>
                <w:rFonts w:ascii="Calibri" w:hAnsi="Calibri"/>
                <w:sz w:val="22"/>
              </w:rPr>
              <w:t>95.7</w:t>
            </w:r>
          </w:p>
        </w:tc>
        <w:tc>
          <w:tcPr>
            <w:tcW w:type="dxa" w:w="1728"/>
          </w:tcPr>
          <w:p>
            <w:r>
              <w:rPr>
                <w:rFonts w:ascii="Calibri" w:hAnsi="Calibri"/>
                <w:sz w:val="22"/>
              </w:rPr>
              <w:t>101.6</w:t>
            </w:r>
          </w:p>
        </w:tc>
        <w:tc>
          <w:tcPr>
            <w:tcW w:type="dxa" w:w="1728"/>
          </w:tcPr>
          <w:p>
            <w:r>
              <w:rPr>
                <w:rFonts w:ascii="Calibri" w:hAnsi="Calibri"/>
                <w:sz w:val="22"/>
              </w:rPr>
              <w:t>-4.2pp</w:t>
            </w:r>
          </w:p>
        </w:tc>
      </w:tr>
      <w:tr>
        <w:tc>
          <w:tcPr>
            <w:tcW w:type="dxa" w:w="1728"/>
          </w:tcPr>
          <w:p>
            <w:r>
              <w:rPr>
                <w:rFonts w:ascii="Calibri" w:hAnsi="Calibri"/>
                <w:sz w:val="22"/>
              </w:rPr>
              <w:t>Jul. 23, 2026 (Brent crosses $100/bbl)</w:t>
            </w:r>
          </w:p>
        </w:tc>
        <w:tc>
          <w:tcPr>
            <w:tcW w:type="dxa" w:w="1728"/>
          </w:tcPr>
          <w:p>
            <w:r>
              <w:rPr>
                <w:rFonts w:ascii="Calibri" w:hAnsi="Calibri"/>
                <w:sz w:val="22"/>
              </w:rPr>
              <w:t>95.1</w:t>
            </w:r>
          </w:p>
        </w:tc>
        <w:tc>
          <w:tcPr>
            <w:tcW w:type="dxa" w:w="1728"/>
          </w:tcPr>
          <w:p>
            <w:r>
              <w:rPr>
                <w:rFonts w:ascii="Calibri" w:hAnsi="Calibri"/>
                <w:sz w:val="22"/>
              </w:rPr>
              <w:t>103.7</w:t>
            </w:r>
          </w:p>
        </w:tc>
        <w:tc>
          <w:tcPr>
            <w:tcW w:type="dxa" w:w="1728"/>
          </w:tcPr>
          <w:p>
            <w:r>
              <w:rPr>
                <w:rFonts w:ascii="Calibri" w:hAnsi="Calibri"/>
                <w:sz w:val="22"/>
              </w:rPr>
              <w:t>100.6</w:t>
            </w:r>
          </w:p>
        </w:tc>
        <w:tc>
          <w:tcPr>
            <w:tcW w:type="dxa" w:w="1728"/>
          </w:tcPr>
          <w:p>
            <w:r>
              <w:rPr>
                <w:rFonts w:ascii="Calibri" w:hAnsi="Calibri"/>
                <w:sz w:val="22"/>
              </w:rPr>
              <w:t>-8.6pp</w:t>
            </w:r>
          </w:p>
        </w:tc>
      </w:tr>
      <w:tr>
        <w:tc>
          <w:tcPr>
            <w:tcW w:type="dxa" w:w="1728"/>
          </w:tcPr>
          <w:p>
            <w:r>
              <w:rPr>
                <w:rFonts w:ascii="Calibri" w:hAnsi="Calibri"/>
                <w:sz w:val="22"/>
              </w:rPr>
              <w:t>Jul. 31, 2026 (XOM/CVX earnings)</w:t>
            </w:r>
          </w:p>
        </w:tc>
        <w:tc>
          <w:tcPr>
            <w:tcW w:type="dxa" w:w="1728"/>
          </w:tcPr>
          <w:p>
            <w:r>
              <w:rPr>
                <w:rFonts w:ascii="Calibri" w:hAnsi="Calibri"/>
                <w:sz w:val="22"/>
              </w:rPr>
              <w:t>97.4</w:t>
            </w:r>
          </w:p>
        </w:tc>
        <w:tc>
          <w:tcPr>
            <w:tcW w:type="dxa" w:w="1728"/>
          </w:tcPr>
          <w:p>
            <w:r>
              <w:rPr>
                <w:rFonts w:ascii="Calibri" w:hAnsi="Calibri"/>
                <w:sz w:val="22"/>
              </w:rPr>
              <w:t>104.8</w:t>
            </w:r>
          </w:p>
        </w:tc>
        <w:tc>
          <w:tcPr>
            <w:tcW w:type="dxa" w:w="1728"/>
          </w:tcPr>
          <w:p>
            <w:r>
              <w:rPr>
                <w:rFonts w:ascii="Calibri" w:hAnsi="Calibri"/>
                <w:sz w:val="22"/>
              </w:rPr>
              <w:t>101.8</w:t>
            </w:r>
          </w:p>
        </w:tc>
        <w:tc>
          <w:tcPr>
            <w:tcW w:type="dxa" w:w="1728"/>
          </w:tcPr>
          <w:p>
            <w:r>
              <w:rPr>
                <w:rFonts w:ascii="Calibri" w:hAnsi="Calibri"/>
                <w:sz w:val="22"/>
              </w:rPr>
              <w:t>-7.4pp</w:t>
            </w:r>
          </w:p>
        </w:tc>
      </w:tr>
      <w:tr>
        <w:tc>
          <w:tcPr>
            <w:tcW w:type="dxa" w:w="1728"/>
          </w:tcPr>
          <w:p>
            <w:r>
              <w:rPr>
                <w:rFonts w:ascii="Calibri" w:hAnsi="Calibri"/>
                <w:sz w:val="22"/>
              </w:rPr>
              <w:t>Aug. 5, 2026 (Q2 Results Released)</w:t>
            </w:r>
          </w:p>
        </w:tc>
        <w:tc>
          <w:tcPr>
            <w:tcW w:type="dxa" w:w="1728"/>
          </w:tcPr>
          <w:p>
            <w:r>
              <w:rPr>
                <w:rFonts w:ascii="Calibri" w:hAnsi="Calibri"/>
                <w:sz w:val="22"/>
              </w:rPr>
              <w:t>90.5</w:t>
            </w:r>
          </w:p>
        </w:tc>
        <w:tc>
          <w:tcPr>
            <w:tcW w:type="dxa" w:w="1728"/>
          </w:tcPr>
          <w:p>
            <w:r>
              <w:rPr>
                <w:rFonts w:ascii="Calibri" w:hAnsi="Calibri"/>
                <w:sz w:val="22"/>
              </w:rPr>
              <w:t>97.6</w:t>
            </w:r>
          </w:p>
        </w:tc>
        <w:tc>
          <w:tcPr>
            <w:tcW w:type="dxa" w:w="1728"/>
          </w:tcPr>
          <w:p>
            <w:r>
              <w:rPr>
                <w:rFonts w:ascii="Calibri" w:hAnsi="Calibri"/>
                <w:sz w:val="22"/>
              </w:rPr>
              <w:t>104.9</w:t>
            </w:r>
          </w:p>
        </w:tc>
        <w:tc>
          <w:tcPr>
            <w:tcW w:type="dxa" w:w="1728"/>
          </w:tcPr>
          <w:p>
            <w:r>
              <w:rPr>
                <w:rFonts w:ascii="Calibri" w:hAnsi="Calibri"/>
                <w:sz w:val="22"/>
              </w:rPr>
              <w:t>-7.1pp</w:t>
            </w:r>
          </w:p>
        </w:tc>
      </w:tr>
    </w:tbl>
    <w:p>
      <w:r>
        <w:rPr>
          <w:rFonts w:ascii="Calibri" w:hAnsi="Calibri"/>
          <w:b/>
          <w:color w:val="525866"/>
          <w:sz w:val="22"/>
        </w:rPr>
        <w:t xml:space="preserve">Sector ETF: </w:t>
      </w:r>
      <w:r>
        <w:rPr>
          <w:rFonts w:ascii="Calibri" w:hAnsi="Calibri"/>
          <w:color w:val="525866"/>
          <w:sz w:val="22"/>
        </w:rPr>
        <w:t>XOP (SPDR S&amp;P Oil &amp; Gas Exploration &amp; Production ETF) — appropriate sub-sector benchmark for APA as a pure-play E&amp;P. Source: Stock Price Data (Yahoo Finance).</w:t>
      </w:r>
    </w:p>
    <w:p>
      <w:r>
        <w:rPr>
          <w:rFonts w:ascii="Calibri" w:hAnsi="Calibri"/>
          <w:b/>
          <w:color w:val="525866"/>
          <w:sz w:val="22"/>
        </w:rPr>
        <w:t xml:space="preserve">Performance Commentary: </w:t>
      </w:r>
      <w:r>
        <w:rPr>
          <w:rFonts w:ascii="Calibri" w:hAnsi="Calibri"/>
          <w:color w:val="525866"/>
          <w:sz w:val="22"/>
        </w:rPr>
        <w:t>APA's underperformance vs. XOP (-7.1pp since Q1 earnings) is notable given the strong operational execution. The divergence widened in June as Egypt PSC volume headwinds became clearer and Waha curtailments persisted. The stock partially recovered in late July as oil prices surged on Iran war escalation (Brent briefly above $100/bbl), but APA lagged XOP even in the rally — suggesting the market is applying a structural discount for gas exposure and Egypt complexity. The Q2 beat and guidance raise announced today could be a catalyst to close some of this gap, particularly if management provides constructive commentary on Waha improvement and the gas trading book trajectory.</w:t>
      </w:r>
    </w:p>
    <w:p>
      <w:r>
        <w:br w:type="page"/>
      </w:r>
    </w:p>
    <w:p>
      <w:pPr>
        <w:pStyle w:val="Heading2"/>
      </w:pPr>
      <w:r>
        <w:rPr>
          <w:rFonts w:ascii="Calibri" w:hAnsi="Calibri"/>
          <w:b/>
          <w:color w:val="3B4259"/>
          <w:sz w:val="28"/>
        </w:rPr>
        <w:t>5. Material News &amp; Developments (Since Q1 2026 Earnings, May 6, 2026)</w:t>
      </w:r>
    </w:p>
    <w:p>
      <w:r>
        <w:rPr>
          <w:rFonts w:ascii="Calibri" w:hAnsi="Calibri"/>
          <w:b/>
          <w:color w:val="525866"/>
          <w:sz w:val="22"/>
        </w:rPr>
        <w:t xml:space="preserve">Key Takeaway: </w:t>
      </w:r>
      <w:r>
        <w:rPr>
          <w:rFonts w:ascii="Calibri" w:hAnsi="Calibri"/>
          <w:color w:val="525866"/>
          <w:sz w:val="22"/>
        </w:rPr>
        <w:t>The most important development since Q1 earnings is the Iran war-driven oil price surge (Brent briefly above $100/bbl in late July), which dramatically improved APA's realized prices and free cash flow generation in Q2. Simultaneously, the July 8 supplemental release confirmed Waha curtailments of ~137 MMcf/d in Q2 but also disclosed a $345 million net gain on oil and gas purchases/sales — signaling the gas trading book is performing well above prior expectations.</w:t>
      </w:r>
    </w:p>
    <w:p>
      <w:pPr>
        <w:pStyle w:val="ListBullet"/>
        <w:ind w:left="360" w:hanging="360"/>
      </w:pPr>
      <w:r>
        <w:rPr>
          <w:rFonts w:ascii="Calibri" w:hAnsi="Calibri"/>
          <w:b/>
          <w:color w:val="525866"/>
          <w:sz w:val="22"/>
        </w:rPr>
        <w:t xml:space="preserve">Aug. 5, 2026 — APA Q2 2026 Results Released (8-K/Press Release): </w:t>
      </w:r>
      <w:r>
        <w:rPr>
          <w:rFonts w:ascii="Calibri" w:hAnsi="Calibri"/>
          <w:color w:val="525866"/>
          <w:sz w:val="22"/>
        </w:rPr>
        <w:t xml:space="preserve">Adjusted EPS of $1.89 (vs. $1.87 consensus), FCF of $738M, U.S. oil production of 123,500 bbl/d (+2,500 bbl/d above guidance). Full-year U.S. oil guidance raised to 123,000 bbl/d; cost savings target raised to $500M; LOE guidance cut $25M. Total debt down $2.3B since YE 2024. </w:t>
      </w:r>
    </w:p>
    <w:p>
      <w:pPr>
        <w:pStyle w:val="ListBullet"/>
        <w:ind w:left="360" w:hanging="360"/>
      </w:pPr>
      <w:r>
        <w:rPr>
          <w:rFonts w:ascii="Calibri" w:hAnsi="Calibri"/>
          <w:b/>
          <w:color w:val="525866"/>
          <w:sz w:val="22"/>
        </w:rPr>
        <w:t xml:space="preserve">Jul. 8, 2026 — APA Q2 2026 Supplemental Information Released: </w:t>
      </w:r>
      <w:r>
        <w:rPr>
          <w:rFonts w:ascii="Calibri" w:hAnsi="Calibri"/>
          <w:color w:val="525866"/>
          <w:sz w:val="22"/>
        </w:rPr>
        <w:t xml:space="preserve">Disclosed key Q2 estimates ahead of results: U.S. oil realized price ~$93.20/bbl, international oil ~$99.90/bbl; net gain on oil/gas purchases and sales of $345M (includes $109M realized derivative loss); ~137 MMcf/d of U.S. gas curtailed due to weak/negative Waha prices; 2.8M shares repurchased at avg. $35.25/share. </w:t>
      </w:r>
    </w:p>
    <w:p>
      <w:pPr>
        <w:pStyle w:val="ListBullet"/>
        <w:ind w:left="360" w:hanging="360"/>
      </w:pPr>
      <w:r>
        <w:rPr>
          <w:rFonts w:ascii="Calibri" w:hAnsi="Calibri"/>
          <w:b/>
          <w:color w:val="525866"/>
          <w:sz w:val="22"/>
        </w:rPr>
        <w:t xml:space="preserve">Jul. 23, 2026 — Brent Crude Crosses $100/bbl: </w:t>
      </w:r>
      <w:r>
        <w:rPr>
          <w:rFonts w:ascii="Calibri" w:hAnsi="Calibri"/>
          <w:color w:val="525866"/>
          <w:sz w:val="22"/>
        </w:rPr>
        <w:t xml:space="preserve">Houthi strikes on Saudi oil tankers in the Red Sea opened a second chokepoint alongside Strait of Hormuz disruptions. Brent settled at $100.69/bbl — highest since late May. Directly benefits APA's international realized prices (Egypt, North Sea) and gas trading portfolio. </w:t>
      </w:r>
    </w:p>
    <w:p>
      <w:pPr>
        <w:pStyle w:val="ListBullet"/>
        <w:ind w:left="360" w:hanging="360"/>
      </w:pPr>
      <w:r>
        <w:rPr>
          <w:rFonts w:ascii="Calibri" w:hAnsi="Calibri"/>
          <w:b/>
          <w:color w:val="525866"/>
          <w:sz w:val="22"/>
        </w:rPr>
        <w:t xml:space="preserve">Jul. 31, 2026 — XOM/CVX Q2 Earnings (Sector Read-Through): </w:t>
      </w:r>
      <w:r>
        <w:rPr>
          <w:rFonts w:ascii="Calibri" w:hAnsi="Calibri"/>
          <w:color w:val="525866"/>
          <w:sz w:val="22"/>
        </w:rPr>
        <w:t xml:space="preserve">ExxonMobil reported $14.5B in Q2 profit (highest since 2022); Chevron reported $12.1B (largest quarterly profit ever). Both cited Iran war-driven oil price surge. Both companies prioritized debt reduction over buyback increases given commodity price uncertainty — relevant read-through for APA's capital allocation commentary on the call. </w:t>
      </w:r>
    </w:p>
    <w:p>
      <w:pPr>
        <w:pStyle w:val="ListBullet"/>
        <w:ind w:left="360" w:hanging="360"/>
      </w:pPr>
      <w:r>
        <w:rPr>
          <w:rFonts w:ascii="Calibri" w:hAnsi="Calibri"/>
          <w:b/>
          <w:color w:val="525866"/>
          <w:sz w:val="22"/>
        </w:rPr>
        <w:t xml:space="preserve">Jul. 27–28, 2026 — U.S.-Iran Pause in Hostilities / Oil Price Volatility: </w:t>
      </w:r>
      <w:r>
        <w:rPr>
          <w:rFonts w:ascii="Calibri" w:hAnsi="Calibri"/>
          <w:color w:val="525866"/>
          <w:sz w:val="22"/>
        </w:rPr>
        <w:t xml:space="preserve">Trump paused military escalation briefly, causing Brent to drop ~5% to $87/bbl before recovering. Highlights the two-way commodity price risk embedded in APA's H2 outlook. Strait of Hormuz remains effectively closed to normal tanker traffic. </w:t>
      </w:r>
    </w:p>
    <w:p>
      <w:pPr>
        <w:pStyle w:val="ListBullet"/>
        <w:ind w:left="360" w:hanging="360"/>
      </w:pPr>
      <w:r>
        <w:rPr>
          <w:rFonts w:ascii="Calibri" w:hAnsi="Calibri"/>
          <w:b/>
          <w:color w:val="525866"/>
          <w:sz w:val="22"/>
        </w:rPr>
        <w:t xml:space="preserve">Jul. 1–Aug. 2026 — Waha Gas Pricing Improvement (Peer Confirmation): </w:t>
      </w:r>
      <w:r>
        <w:rPr>
          <w:rFonts w:ascii="Calibri" w:hAnsi="Calibri"/>
          <w:color w:val="525866"/>
          <w:sz w:val="22"/>
        </w:rPr>
        <w:t xml:space="preserve">FANG confirmed Waha was positive for the entire month of July as new pipeline capacity (Hugh Brinson, Matterhorn) began flowing. DVN noted Blackcomb egress coming in H2 2026/H1 2027. This is a direct positive read-through for APA's H2 gas curtailment assumption — if Waha stays positive, APA's H2 gas volumes and revenues could exceed current guidance. </w:t>
      </w:r>
    </w:p>
    <w:p>
      <w:pPr>
        <w:pStyle w:val="ListBullet"/>
        <w:ind w:left="360" w:hanging="360"/>
      </w:pPr>
      <w:r>
        <w:rPr>
          <w:rFonts w:ascii="Calibri" w:hAnsi="Calibri"/>
          <w:b/>
          <w:color w:val="525866"/>
          <w:sz w:val="22"/>
        </w:rPr>
        <w:t xml:space="preserve">Jun. 25, 2026 — UK North Sea Policy Risk: </w:t>
      </w:r>
      <w:r>
        <w:rPr>
          <w:rFonts w:ascii="Calibri" w:hAnsi="Calibri"/>
          <w:color w:val="525866"/>
          <w:sz w:val="22"/>
        </w:rPr>
        <w:t xml:space="preserve">Investor concern flagged about UK PM Andy Burnham potentially supporting more North Sea drilling — mixed signal for APA's North Sea assets (higher activity could be positive for production but also signals regulatory uncertainty). APA faces 78% effective UK tax rate, making North Sea a high-tax, lower-FCF contributor. </w:t>
      </w:r>
    </w:p>
    <w:p>
      <w:pPr>
        <w:pStyle w:val="ListBullet"/>
        <w:ind w:left="360" w:hanging="360"/>
      </w:pPr>
      <w:r>
        <w:rPr>
          <w:rFonts w:ascii="Calibri" w:hAnsi="Calibri"/>
          <w:b/>
          <w:color w:val="525866"/>
          <w:sz w:val="22"/>
        </w:rPr>
        <w:t xml:space="preserve">May 6–7, 2026 — Q1 2026 Earnings Call Key Guidance Points: </w:t>
      </w:r>
      <w:r>
        <w:rPr>
          <w:rFonts w:ascii="Calibri" w:hAnsi="Calibri"/>
          <w:color w:val="525866"/>
          <w:sz w:val="22"/>
        </w:rPr>
        <w:t>Management raised FY U.S. oil guidance to 122,000 bbl/d, confirmed $1.1B gas trading pretax cash flow, guided $2.2B FY FCF, and raised cost savings target to $450M. Tone was confident; CEO stated ‘it’s a great position to be in where we’ve got an increasing free cash flow picture.’ Alaska two-well program (exploration + appraisal) confirmed for upcoming winter. Suriname GranMorgu on track for 2028 first oil.</w:t>
      </w:r>
    </w:p>
    <w:p>
      <w:r>
        <w:br w:type="page"/>
      </w:r>
    </w:p>
    <w:p>
      <w:pPr>
        <w:pStyle w:val="Heading2"/>
      </w:pPr>
      <w:r>
        <w:rPr>
          <w:rFonts w:ascii="Calibri" w:hAnsi="Calibri"/>
          <w:b/>
          <w:color w:val="3B4259"/>
          <w:sz w:val="28"/>
        </w:rPr>
        <w:t>6. 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 one open-market sale by an EVP in May, with no open-market purchases. The absence of buying is not alarming given the stock's strong run into Q1 earnings and the subsequent pullback, but the lack of any insider accumulation during the June–July dip (when APA traded as low as ~$31–33) is worth noting.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(Est.)</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Maddox, Mark D.</w:t>
            </w:r>
          </w:p>
        </w:tc>
        <w:tc>
          <w:tcPr>
            <w:tcW w:type="dxa" w:w="1234"/>
          </w:tcPr>
          <w:p>
            <w:r>
              <w:rPr>
                <w:rFonts w:ascii="Calibri" w:hAnsi="Calibri"/>
                <w:sz w:val="22"/>
              </w:rPr>
              <w:t>Executive VP — Administration</w:t>
            </w:r>
          </w:p>
        </w:tc>
        <w:tc>
          <w:tcPr>
            <w:tcW w:type="dxa" w:w="1234"/>
          </w:tcPr>
          <w:p>
            <w:r>
              <w:rPr>
                <w:rFonts w:ascii="Calibri" w:hAnsi="Calibri"/>
                <w:sz w:val="22"/>
              </w:rPr>
              <w:t>Open Market Sale</w:t>
            </w:r>
          </w:p>
        </w:tc>
        <w:tc>
          <w:tcPr>
            <w:tcW w:type="dxa" w:w="1234"/>
          </w:tcPr>
          <w:p>
            <w:r>
              <w:rPr>
                <w:rFonts w:ascii="Calibri" w:hAnsi="Calibri"/>
                <w:sz w:val="22"/>
              </w:rPr>
              <w:t>9,800</w:t>
            </w:r>
          </w:p>
        </w:tc>
        <w:tc>
          <w:tcPr>
            <w:tcW w:type="dxa" w:w="1234"/>
          </w:tcPr>
          <w:p>
            <w:r>
              <w:rPr>
                <w:rFonts w:ascii="Calibri" w:hAnsi="Calibri"/>
                <w:sz w:val="22"/>
              </w:rPr>
              <w:t>~$345,000 (est. ~$35.20/sh)</w:t>
            </w:r>
          </w:p>
        </w:tc>
        <w:tc>
          <w:tcPr>
            <w:tcW w:type="dxa" w:w="1234"/>
          </w:tcPr>
          <w:p>
            <w:r>
              <w:rPr>
                <w:rFonts w:ascii="Calibri" w:hAnsi="Calibri"/>
                <w:sz w:val="22"/>
              </w:rPr>
              <w:t>May 20, 2026</w:t>
            </w:r>
          </w:p>
        </w:tc>
        <w:tc>
          <w:tcPr>
            <w:tcW w:type="dxa" w:w="1234"/>
          </w:tcPr>
          <w:p>
            <w:r>
              <w:rPr>
                <w:rFonts w:ascii="Calibri" w:hAnsi="Calibri"/>
                <w:sz w:val="22"/>
              </w:rPr>
              <w:t>Discretionary sale; no 10b5-1 plan indicated. Filed May 22, 2026. Retains 66,810 shares post-sale.</w:t>
            </w:r>
          </w:p>
        </w:tc>
      </w:tr>
    </w:tbl>
    <w:p>
      <w:r>
        <w:rPr>
          <w:rFonts w:ascii="Calibri" w:hAnsi="Calibri"/>
          <w:color w:val="525866"/>
          <w:sz w:val="22"/>
        </w:rPr>
        <w:t>Source: SEC Form 4 Filing — Maddox Mark D (APA), filed May 22, 2026. No other open-market buys or sells filed in the window May 6 – August 5, 2026. No 10b5-1 plan initiations disclosed in the period.</w:t>
      </w:r>
    </w:p>
    <w:p>
      <w:r>
        <w:rPr>
          <w:rFonts w:ascii="Calibri" w:hAnsi="Calibri"/>
          <w:b/>
          <w:color w:val="525866"/>
          <w:sz w:val="22"/>
        </w:rPr>
        <w:t xml:space="preserve">Assessment: </w:t>
      </w:r>
      <w:r>
        <w:rPr>
          <w:rFonts w:ascii="Calibri" w:hAnsi="Calibri"/>
          <w:color w:val="525866"/>
          <w:sz w:val="22"/>
        </w:rPr>
        <w:t>The single discretionary sale by an EVP-level insider at ~$35.20/share (near the post-Q1 high) is not a meaningful signal on its own. More notable is the absence of any insider buying during the June–July pullback when the stock traded 15–20% below the May peak — though this is not unusual for E&amp;P insiders who typically rely on equity compensation programs rather than open-market purchases.</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Key Takeaway: </w:t>
      </w:r>
      <w:r>
        <w:rPr>
          <w:rFonts w:ascii="Calibri" w:hAnsi="Calibri"/>
          <w:color w:val="525866"/>
          <w:sz w:val="22"/>
        </w:rPr>
        <w:t>Peer Q2 2026 earnings calls (reported July–August 2026) provide a consistently positive read-through for APA’s Q3 2026 and H2 2026 outlook: Permian oil volumes are growing with capital discipline intact, Waha gas pricing has materially improved in July as new pipelines flow, and service cost inflation is manageable. The most decision-relevant signals are the Waha improvement (direct upside to APA’s H2 gas volumes/revenues) and the broad confirmation that Permian capital efficiency gains are real and durable.</w:t>
      </w:r>
    </w:p>
    <w:p>
      <w:r>
        <w:rPr>
          <w:rFonts w:ascii="Calibri" w:hAnsi="Calibri"/>
          <w:i/>
          <w:color w:val="525866"/>
          <w:sz w:val="22"/>
        </w:rPr>
        <w:t xml:space="preserve">Scope Note: </w:t>
      </w:r>
      <w:r>
        <w:rPr>
          <w:rFonts w:ascii="Calibri" w:hAnsi="Calibri"/>
          <w:i/>
          <w:color w:val="525866"/>
          <w:sz w:val="22"/>
        </w:rPr>
        <w:t>Only forward-looking commentary from peer Q2 2026 earnings releases and calls (July–August 2026) addressing Q3 2026 conditions or H2 2026 outlook is included below. Retrospective Q2 2026 performance commentary from peers is excluded.</w:t>
      </w:r>
    </w:p>
    <w:p>
      <w:pPr>
        <w:pStyle w:val="Heading3"/>
      </w:pPr>
      <w:r>
        <w:rPr>
          <w:rFonts w:ascii="Calibri" w:hAnsi="Calibri"/>
          <w:b/>
          <w:color w:val="3B4259"/>
          <w:sz w:val="24"/>
        </w:rPr>
        <w:t>7A. Permian Oil Volumes &amp; Capital Efficiency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Forward-Looking Commentary (Q3 2026 / H2 2026)</w:t>
            </w:r>
          </w:p>
        </w:tc>
        <w:tc>
          <w:tcPr>
            <w:tcW w:type="dxa" w:w="2160"/>
            <w:shd w:val="clear" w:color="auto" w:fill="3B4259"/>
          </w:tcPr>
          <w:p>
            <w:r>
              <w:rPr>
                <w:rFonts w:ascii="Calibri" w:hAnsi="Calibri"/>
                <w:b/>
                <w:color w:val="FFFFFF"/>
                <w:sz w:val="22"/>
              </w:rPr>
              <w:t>APA Read-Through</w:t>
            </w:r>
          </w:p>
        </w:tc>
      </w:tr>
      <w:tr>
        <w:tc>
          <w:tcPr>
            <w:tcW w:type="dxa" w:w="2160"/>
          </w:tcPr>
          <w:p>
            <w:r>
              <w:rPr>
                <w:rFonts w:ascii="Calibri" w:hAnsi="Calibri"/>
                <w:sz w:val="22"/>
              </w:rPr>
              <w:t>Diamondback Energy (FANG)</w:t>
            </w:r>
          </w:p>
        </w:tc>
        <w:tc>
          <w:tcPr>
            <w:tcW w:type="dxa" w:w="2160"/>
          </w:tcPr>
          <w:p>
            <w:r>
              <w:rPr>
                <w:rFonts w:ascii="Calibri" w:hAnsi="Calibri"/>
                <w:sz w:val="22"/>
              </w:rPr>
              <w:t>Q2 2026 Earnings Release &amp; Call (Aug. 3–4, 2026)</w:t>
            </w:r>
          </w:p>
        </w:tc>
        <w:tc>
          <w:tcPr>
            <w:tcW w:type="dxa" w:w="2160"/>
          </w:tcPr>
          <w:p>
            <w:r>
              <w:rPr>
                <w:rFonts w:ascii="Calibri" w:hAnsi="Calibri"/>
                <w:sz w:val="22"/>
              </w:rPr>
              <w:t>Q3 2026 oil production guidance of 517–527 MBO/d; raised full-year oil guidance to 522+ MBO/d with full-year CapEx unchanged at ~$3.9B. CEO: ‘record draws from global inventories… have structurally raised the floor for oil prices.’ Casing cost inflation of ~1% of well cost expected in H2, offset by efficiency gains. All frac fleets are electric, mitigating diesel inflation.</w:t>
            </w:r>
          </w:p>
        </w:tc>
        <w:tc>
          <w:tcPr>
            <w:tcW w:type="dxa" w:w="2160"/>
          </w:tcPr>
          <w:p>
            <w:r>
              <w:rPr>
                <w:rFonts w:ascii="Calibri" w:hAnsi="Calibri"/>
                <w:b/>
                <w:sz w:val="22"/>
              </w:rPr>
              <w:t xml:space="preserve">Positive. </w:t>
            </w:r>
            <w:r>
              <w:rPr>
                <w:rFonts w:ascii="Calibri" w:hAnsi="Calibri"/>
                <w:sz w:val="22"/>
              </w:rPr>
              <w:t>Production growth with flat CapEx confirms Permian capital efficiency gains are real. Manageable cost inflation is consistent with APA’s own guidance. Electric frac fleet adoption is a best practice APA can benchmark.</w:t>
            </w:r>
          </w:p>
        </w:tc>
      </w:tr>
      <w:tr>
        <w:tc>
          <w:tcPr>
            <w:tcW w:type="dxa" w:w="2160"/>
          </w:tcPr>
          <w:p>
            <w:r>
              <w:rPr>
                <w:rFonts w:ascii="Calibri" w:hAnsi="Calibri"/>
                <w:sz w:val="22"/>
              </w:rPr>
              <w:t>Ovintiv (OVV)</w:t>
            </w:r>
          </w:p>
        </w:tc>
        <w:tc>
          <w:tcPr>
            <w:tcW w:type="dxa" w:w="2160"/>
          </w:tcPr>
          <w:p>
            <w:r>
              <w:rPr>
                <w:rFonts w:ascii="Calibri" w:hAnsi="Calibri"/>
                <w:sz w:val="22"/>
              </w:rPr>
              <w:t>Q2 2026 Earnings Release &amp; Call (Jul. 23–24, 2026)</w:t>
            </w:r>
          </w:p>
        </w:tc>
        <w:tc>
          <w:tcPr>
            <w:tcW w:type="dxa" w:w="2160"/>
          </w:tcPr>
          <w:p>
            <w:r>
              <w:rPr>
                <w:rFonts w:ascii="Calibri" w:hAnsi="Calibri"/>
                <w:sz w:val="22"/>
              </w:rPr>
              <w:t>Raised Permian run rate to 125,000 bbl/d (from 120,000) ‘not just the rest of this year, but beyond.’ Full-year oil guidance raised to 210–212 Mbbl/d with CapEx unchanged. ‘Not currently seeing significant inflationary pressure on our 2026 capital program’ — higher diesel offset by operational efficiencies. Surfactant use on ~400 Permian wells showing ~9% oil productivity improvement at only $100K/well cost.</w:t>
            </w:r>
          </w:p>
        </w:tc>
        <w:tc>
          <w:tcPr>
            <w:tcW w:type="dxa" w:w="2160"/>
          </w:tcPr>
          <w:p>
            <w:r>
              <w:rPr>
                <w:rFonts w:ascii="Calibri" w:hAnsi="Calibri"/>
                <w:b/>
                <w:sz w:val="22"/>
              </w:rPr>
              <w:t xml:space="preserve">Positive. </w:t>
            </w:r>
            <w:r>
              <w:rPr>
                <w:rFonts w:ascii="Calibri" w:hAnsi="Calibri"/>
                <w:sz w:val="22"/>
              </w:rPr>
              <w:t>No material service cost inflation is a direct positive for APA’s Permian CapEx guidance. Surfactant productivity data is a relevant benchmark for APA’s own completion optimization.</w:t>
            </w:r>
          </w:p>
        </w:tc>
      </w:tr>
      <w:tr>
        <w:tc>
          <w:tcPr>
            <w:tcW w:type="dxa" w:w="2160"/>
          </w:tcPr>
          <w:p>
            <w:r>
              <w:rPr>
                <w:rFonts w:ascii="Calibri" w:hAnsi="Calibri"/>
                <w:sz w:val="22"/>
              </w:rPr>
              <w:t>Devon Energy (DVN)</w:t>
            </w:r>
          </w:p>
        </w:tc>
        <w:tc>
          <w:tcPr>
            <w:tcW w:type="dxa" w:w="2160"/>
          </w:tcPr>
          <w:p>
            <w:r>
              <w:rPr>
                <w:rFonts w:ascii="Calibri" w:hAnsi="Calibri"/>
                <w:sz w:val="22"/>
              </w:rPr>
              <w:t>Q2 2026 Earnings Call (Aug. 5, 2026)</w:t>
            </w:r>
          </w:p>
        </w:tc>
        <w:tc>
          <w:tcPr>
            <w:tcW w:type="dxa" w:w="2160"/>
          </w:tcPr>
          <w:p>
            <w:r>
              <w:rPr>
                <w:rFonts w:ascii="Calibri" w:hAnsi="Calibri"/>
                <w:sz w:val="22"/>
              </w:rPr>
              <w:t>Q3 2026 oil guidance of 550–560 Mbbl/d; expects Q4 at similar or higher levels. DNC cost ~$800/ft; ‘excited to deliver an even more aggressive cost structure’ in 2027. Surfactant trials in Permian showing ‘north of 15% uplift at 180 days’ on 90% of tested wells; scaling to 50+ wells imminently. AI-driven gas lift optimization now on 1,000 Permian wells with 2,000+ still ahead.</w:t>
            </w:r>
          </w:p>
        </w:tc>
        <w:tc>
          <w:tcPr>
            <w:tcW w:type="dxa" w:w="2160"/>
          </w:tcPr>
          <w:p>
            <w:r>
              <w:rPr>
                <w:rFonts w:ascii="Calibri" w:hAnsi="Calibri"/>
                <w:b/>
                <w:sz w:val="22"/>
              </w:rPr>
              <w:t xml:space="preserve">Positive. </w:t>
            </w:r>
            <w:r>
              <w:rPr>
                <w:rFonts w:ascii="Calibri" w:hAnsi="Calibri"/>
                <w:sz w:val="22"/>
              </w:rPr>
              <w:t>DVN’s aggressive cost reduction roadmap and surfactant results confirm the Permian efficiency improvement cycle is durable. APA’s own cost savings trajectory ($500M exit run-rate) is consistent with basin-wide trends.</w:t>
            </w:r>
          </w:p>
        </w:tc>
      </w:tr>
      <w:tr>
        <w:tc>
          <w:tcPr>
            <w:tcW w:type="dxa" w:w="2160"/>
          </w:tcPr>
          <w:p>
            <w:r>
              <w:rPr>
                <w:rFonts w:ascii="Calibri" w:hAnsi="Calibri"/>
                <w:sz w:val="22"/>
              </w:rPr>
              <w:t>Matador Resources (MTDR)</w:t>
            </w:r>
          </w:p>
        </w:tc>
        <w:tc>
          <w:tcPr>
            <w:tcW w:type="dxa" w:w="2160"/>
          </w:tcPr>
          <w:p>
            <w:r>
              <w:rPr>
                <w:rFonts w:ascii="Calibri" w:hAnsi="Calibri"/>
                <w:sz w:val="22"/>
              </w:rPr>
              <w:t>Q2 2026 Earnings Release (Aug. 5, 2026)</w:t>
            </w:r>
          </w:p>
        </w:tc>
        <w:tc>
          <w:tcPr>
            <w:tcW w:type="dxa" w:w="2160"/>
          </w:tcPr>
          <w:p>
            <w:r>
              <w:rPr>
                <w:rFonts w:ascii="Calibri" w:hAnsi="Calibri"/>
                <w:sz w:val="22"/>
              </w:rPr>
              <w:t>Q3 2026 oil guidance of 128,500–130,500 bbl/d (+3% sequential growth). Full-year D/C/E cost per completed lateral foot guided at $785–$805; adjacent asset wells expected at $640/ft in Q3 (driven by reduced drilling times, extended laterals, multi-well completions). Future well costs on Federal lease sale/Paloma acreage expected 15–20% below current average.</w:t>
            </w:r>
          </w:p>
        </w:tc>
        <w:tc>
          <w:tcPr>
            <w:tcW w:type="dxa" w:w="2160"/>
          </w:tcPr>
          <w:p>
            <w:r>
              <w:rPr>
                <w:rFonts w:ascii="Calibri" w:hAnsi="Calibri"/>
                <w:b/>
                <w:sz w:val="22"/>
              </w:rPr>
              <w:t xml:space="preserve">Positive. </w:t>
            </w:r>
            <w:r>
              <w:rPr>
                <w:rFonts w:ascii="Calibri" w:hAnsi="Calibri"/>
                <w:sz w:val="22"/>
              </w:rPr>
              <w:t>Delaware Basin well cost reductions to $640/ft are directly relevant to APA’s Delaware Basin operations. Confirms that capital efficiency gains are achievable in APA’s core operating area.</w:t>
            </w:r>
          </w:p>
        </w:tc>
      </w:tr>
    </w:tbl>
    <w:p>
      <w:pPr>
        <w:pStyle w:val="Heading3"/>
      </w:pPr>
      <w:r>
        <w:rPr>
          <w:rFonts w:ascii="Calibri" w:hAnsi="Calibri"/>
          <w:b/>
          <w:color w:val="3B4259"/>
          <w:sz w:val="24"/>
        </w:rPr>
        <w:t>7B. Waha Gas Pricing &amp; Permian Gas Egress — Most Decision-Relevant Read-Through</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Forward-Looking Commentary on Waha / Gas Egress</w:t>
            </w:r>
          </w:p>
        </w:tc>
        <w:tc>
          <w:tcPr>
            <w:tcW w:type="dxa" w:w="2160"/>
            <w:shd w:val="clear" w:color="auto" w:fill="3B4259"/>
          </w:tcPr>
          <w:p>
            <w:r>
              <w:rPr>
                <w:rFonts w:ascii="Calibri" w:hAnsi="Calibri"/>
                <w:b/>
                <w:color w:val="FFFFFF"/>
                <w:sz w:val="22"/>
              </w:rPr>
              <w:t>APA Read-Through</w:t>
            </w:r>
          </w:p>
        </w:tc>
      </w:tr>
      <w:tr>
        <w:tc>
          <w:tcPr>
            <w:tcW w:type="dxa" w:w="2160"/>
          </w:tcPr>
          <w:p>
            <w:r>
              <w:rPr>
                <w:rFonts w:ascii="Calibri" w:hAnsi="Calibri"/>
                <w:sz w:val="22"/>
              </w:rPr>
              <w:t>Diamondback Energy (FANG)</w:t>
            </w:r>
          </w:p>
        </w:tc>
        <w:tc>
          <w:tcPr>
            <w:tcW w:type="dxa" w:w="2160"/>
          </w:tcPr>
          <w:p>
            <w:r>
              <w:rPr>
                <w:rFonts w:ascii="Calibri" w:hAnsi="Calibri"/>
                <w:sz w:val="22"/>
              </w:rPr>
              <w:t>Q2 2026 Earnings Call (Aug. 4, 2026)</w:t>
            </w:r>
          </w:p>
        </w:tc>
        <w:tc>
          <w:tcPr>
            <w:tcW w:type="dxa" w:w="2160"/>
          </w:tcPr>
          <w:p>
            <w:r>
              <w:rPr>
                <w:rFonts w:ascii="Calibri" w:hAnsi="Calibri"/>
                <w:sz w:val="22"/>
              </w:rPr>
              <w:t>‘Waha has firmed up a little bit’ as new pipes start to flow. ‘Waha was positive for the whole month of July — certainly a nice tailwind.’ Bryant Ranch project targeting first gas H2 2027 with 200–250 MMcf/d capacity; contract structure targeting ‘Waha plus with a floor.’ Waha basis swap hedges in place at -$1.87/MMBtu for Q3 2026 (650 MMcf/d).</w:t>
            </w:r>
          </w:p>
        </w:tc>
        <w:tc>
          <w:tcPr>
            <w:tcW w:type="dxa" w:w="2160"/>
          </w:tcPr>
          <w:p>
            <w:r>
              <w:rPr>
                <w:rFonts w:ascii="Calibri" w:hAnsi="Calibri"/>
                <w:b/>
                <w:color w:val="30A46C"/>
                <w:sz w:val="22"/>
              </w:rPr>
              <w:t xml:space="preserve">Highly Positive. </w:t>
            </w:r>
            <w:r>
              <w:rPr>
                <w:rFonts w:ascii="Calibri" w:hAnsi="Calibri"/>
                <w:sz w:val="22"/>
              </w:rPr>
              <w:t>Waha positive in July is a direct upside signal for APA’s H2 gas volumes. APA’s Q2 guidance assumed no curtailments in H2 — if Waha stays positive, APA’s gas revenues could exceed current guidance. Key call question: will management update the H2 curtailment assumption?</w:t>
            </w:r>
          </w:p>
        </w:tc>
      </w:tr>
      <w:tr>
        <w:tc>
          <w:tcPr>
            <w:tcW w:type="dxa" w:w="2160"/>
          </w:tcPr>
          <w:p>
            <w:r>
              <w:rPr>
                <w:rFonts w:ascii="Calibri" w:hAnsi="Calibri"/>
                <w:sz w:val="22"/>
              </w:rPr>
              <w:t>Devon Energy (DVN)</w:t>
            </w:r>
          </w:p>
        </w:tc>
        <w:tc>
          <w:tcPr>
            <w:tcW w:type="dxa" w:w="2160"/>
          </w:tcPr>
          <w:p>
            <w:r>
              <w:rPr>
                <w:rFonts w:ascii="Calibri" w:hAnsi="Calibri"/>
                <w:sz w:val="22"/>
              </w:rPr>
              <w:t>Q2 2026 Earnings Call (Aug. 5, 2026)</w:t>
            </w:r>
          </w:p>
        </w:tc>
        <w:tc>
          <w:tcPr>
            <w:tcW w:type="dxa" w:w="2160"/>
          </w:tcPr>
          <w:p>
            <w:r>
              <w:rPr>
                <w:rFonts w:ascii="Calibri" w:hAnsi="Calibri"/>
                <w:sz w:val="22"/>
              </w:rPr>
              <w:t>‘Q2 was obviously a tough quarter on Waha.’ Going forward: ‘over 70% of our production either hedged or down to the coast.’ Additional egress via Blackcomb pipeline coming ‘later in the year and in the first half of next year.’ Long-term caution: increased LNG export capacity + lack of storage could ‘create more volatility’ in Gulf Coast pricing.</w:t>
            </w:r>
          </w:p>
        </w:tc>
        <w:tc>
          <w:tcPr>
            <w:tcW w:type="dxa" w:w="2160"/>
          </w:tcPr>
          <w:p>
            <w:r>
              <w:rPr>
                <w:rFonts w:ascii="Calibri" w:hAnsi="Calibri"/>
                <w:b/>
                <w:sz w:val="22"/>
              </w:rPr>
              <w:t xml:space="preserve">Mixed. </w:t>
            </w:r>
            <w:r>
              <w:rPr>
                <w:rFonts w:ascii="Calibri" w:hAnsi="Calibri"/>
                <w:sz w:val="22"/>
              </w:rPr>
              <w:t>Near-term Waha improvement is positive for APA’s H2 gas volumes. Blackcomb coming online in H2/H1 2027 is structural relief. Long-term Gulf Coast volatility risk is a watch item for APA’s gas trading book beyond 2026.</w:t>
            </w:r>
          </w:p>
        </w:tc>
      </w:tr>
      <w:tr>
        <w:tc>
          <w:tcPr>
            <w:tcW w:type="dxa" w:w="2160"/>
          </w:tcPr>
          <w:p>
            <w:r>
              <w:rPr>
                <w:rFonts w:ascii="Calibri" w:hAnsi="Calibri"/>
                <w:sz w:val="22"/>
              </w:rPr>
              <w:t>Ovintiv (OVV)</w:t>
            </w:r>
          </w:p>
        </w:tc>
        <w:tc>
          <w:tcPr>
            <w:tcW w:type="dxa" w:w="2160"/>
          </w:tcPr>
          <w:p>
            <w:r>
              <w:rPr>
                <w:rFonts w:ascii="Calibri" w:hAnsi="Calibri"/>
                <w:sz w:val="22"/>
              </w:rPr>
              <w:t>Q2 2026 Earnings Call (Jul. 24, 2026)</w:t>
            </w:r>
          </w:p>
        </w:tc>
        <w:tc>
          <w:tcPr>
            <w:tcW w:type="dxa" w:w="2160"/>
          </w:tcPr>
          <w:p>
            <w:r>
              <w:rPr>
                <w:rFonts w:ascii="Calibri" w:hAnsi="Calibri"/>
                <w:sz w:val="22"/>
              </w:rPr>
              <w:t>Prices ‘more than half of our gas outside of Waha’ via GCC, Whistler, Matterhorn, and a new pipeline starting later in 2026. Avoided ‘deeply negative price realizations experienced by some of our peers.’ Total company gas realizations of $1.99/Mcf (~70% of NYMEX) including hedging. Waha fixed price swaps at $0.74/Mcf for Q3 2026 (50 MMcf/d).</w:t>
            </w:r>
          </w:p>
        </w:tc>
        <w:tc>
          <w:tcPr>
            <w:tcW w:type="dxa" w:w="2160"/>
          </w:tcPr>
          <w:p>
            <w:r>
              <w:rPr>
                <w:rFonts w:ascii="Calibri" w:hAnsi="Calibri"/>
                <w:b/>
                <w:sz w:val="22"/>
              </w:rPr>
              <w:t xml:space="preserve">Positive. </w:t>
            </w:r>
            <w:r>
              <w:rPr>
                <w:rFonts w:ascii="Calibri" w:hAnsi="Calibri"/>
                <w:sz w:val="22"/>
              </w:rPr>
              <w:t>OVV’s gas diversification strategy demonstrates the value of takeaway optionality. APA’s gas trading portfolio (targeting $1.1B pretax cash flow in 2026) serves a similar function — the $0.74/Mcf Waha swap floor suggests the market is pricing in continued, if reduced, basis weakness.</w:t>
            </w:r>
          </w:p>
        </w:tc>
      </w:tr>
      <w:tr>
        <w:tc>
          <w:tcPr>
            <w:tcW w:type="dxa" w:w="2160"/>
          </w:tcPr>
          <w:p>
            <w:r>
              <w:rPr>
                <w:rFonts w:ascii="Calibri" w:hAnsi="Calibri"/>
                <w:sz w:val="22"/>
              </w:rPr>
              <w:t>Matador Resources (MTDR)</w:t>
            </w:r>
          </w:p>
        </w:tc>
        <w:tc>
          <w:tcPr>
            <w:tcW w:type="dxa" w:w="2160"/>
          </w:tcPr>
          <w:p>
            <w:r>
              <w:rPr>
                <w:rFonts w:ascii="Calibri" w:hAnsi="Calibri"/>
                <w:sz w:val="22"/>
              </w:rPr>
              <w:t>Q2 2026 Earnings Release (Aug. 5, 2026)</w:t>
            </w:r>
          </w:p>
        </w:tc>
        <w:tc>
          <w:tcPr>
            <w:tcW w:type="dxa" w:w="2160"/>
          </w:tcPr>
          <w:p>
            <w:r>
              <w:rPr>
                <w:rFonts w:ascii="Calibri" w:hAnsi="Calibri"/>
                <w:sz w:val="22"/>
              </w:rPr>
              <w:t>Secured 500 MMcf/d of firm transport on Energy Transfer’s Hugh Brinson pipeline at no capital cost; expects flow ‘earlier than previously expected by end of Q3 2026.’ Estimates $90M annually in incremental gas revenue for each $0.50/MMBtu improvement in realized gas price.</w:t>
            </w:r>
          </w:p>
        </w:tc>
        <w:tc>
          <w:tcPr>
            <w:tcW w:type="dxa" w:w="2160"/>
          </w:tcPr>
          <w:p>
            <w:r>
              <w:rPr>
                <w:rFonts w:ascii="Calibri" w:hAnsi="Calibri"/>
                <w:b/>
                <w:color w:val="30A46C"/>
                <w:sz w:val="22"/>
              </w:rPr>
              <w:t xml:space="preserve">Highly Positive. </w:t>
            </w:r>
            <w:r>
              <w:rPr>
                <w:rFonts w:ascii="Calibri" w:hAnsi="Calibri"/>
                <w:sz w:val="22"/>
              </w:rPr>
              <w:t>Hugh Brinson flowing by end of Q3 2026 is a structural improvement in Permian gas takeaway. This directly reduces Waha basis pressure and supports APA’s assumption of no H2 curtailments. The $90M/per $0.50 sensitivity is a useful benchmark for sizing APA’s own gas revenue upside.</w:t>
            </w:r>
          </w:p>
        </w:tc>
      </w:tr>
    </w:tbl>
    <w:p>
      <w:pPr>
        <w:pStyle w:val="Heading3"/>
      </w:pPr>
      <w:r>
        <w:rPr>
          <w:rFonts w:ascii="Calibri" w:hAnsi="Calibri"/>
          <w:b/>
          <w:color w:val="3B4259"/>
          <w:sz w:val="24"/>
        </w:rPr>
        <w:t>7C. Macro &amp; Commodity Price Context (Sector-Wide)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Source / Peer</w:t>
            </w:r>
          </w:p>
        </w:tc>
        <w:tc>
          <w:tcPr>
            <w:tcW w:type="dxa" w:w="2880"/>
            <w:shd w:val="clear" w:color="auto" w:fill="3B4259"/>
          </w:tcPr>
          <w:p>
            <w:r>
              <w:rPr>
                <w:rFonts w:ascii="Calibri" w:hAnsi="Calibri"/>
                <w:b/>
                <w:color w:val="FFFFFF"/>
                <w:sz w:val="22"/>
              </w:rPr>
              <w:t>Commentary</w:t>
            </w:r>
          </w:p>
        </w:tc>
        <w:tc>
          <w:tcPr>
            <w:tcW w:type="dxa" w:w="2880"/>
            <w:shd w:val="clear" w:color="auto" w:fill="3B4259"/>
          </w:tcPr>
          <w:p>
            <w:r>
              <w:rPr>
                <w:rFonts w:ascii="Calibri" w:hAnsi="Calibri"/>
                <w:b/>
                <w:color w:val="FFFFFF"/>
                <w:sz w:val="22"/>
              </w:rPr>
              <w:t>APA Read-Through</w:t>
            </w:r>
          </w:p>
        </w:tc>
      </w:tr>
      <w:tr>
        <w:tc>
          <w:tcPr>
            <w:tcW w:type="dxa" w:w="2880"/>
          </w:tcPr>
          <w:p>
            <w:r>
              <w:rPr>
                <w:rFonts w:ascii="Calibri" w:hAnsi="Calibri"/>
                <w:sz w:val="22"/>
              </w:rPr>
              <w:t>Diamondback Energy (FANG) — CEO, Aug. 4, 2026</w:t>
            </w:r>
          </w:p>
        </w:tc>
        <w:tc>
          <w:tcPr>
            <w:tcW w:type="dxa" w:w="2880"/>
          </w:tcPr>
          <w:p>
            <w:r>
              <w:rPr>
                <w:rFonts w:ascii="Calibri" w:hAnsi="Calibri"/>
                <w:sz w:val="22"/>
              </w:rPr>
              <w:t>‘Record draws from global inventories and the restocking required to rebuild global inventories have structurally raised the floor for oil prices compared to pre-conflict prices.’ Cautioned that ‘timing of eventual supply normalization is impossible to predict.’</w:t>
            </w:r>
          </w:p>
        </w:tc>
        <w:tc>
          <w:tcPr>
            <w:tcW w:type="dxa" w:w="2880"/>
          </w:tcPr>
          <w:p>
            <w:r>
              <w:rPr>
                <w:rFonts w:ascii="Calibri" w:hAnsi="Calibri"/>
                <w:sz w:val="22"/>
              </w:rPr>
              <w:t>Positive for APA’s H2 oil price realizations. Inventory restocking thesis supports sustained elevated Brent, directly benefiting APA’s Egypt and North Sea realizations.</w:t>
            </w:r>
          </w:p>
        </w:tc>
      </w:tr>
      <w:tr>
        <w:tc>
          <w:tcPr>
            <w:tcW w:type="dxa" w:w="2880"/>
          </w:tcPr>
          <w:p>
            <w:r>
              <w:rPr>
                <w:rFonts w:ascii="Calibri" w:hAnsi="Calibri"/>
                <w:sz w:val="22"/>
              </w:rPr>
              <w:t>ExxonMobil (XOM) — Q2 2026 Earnings, Jul. 31, 2026</w:t>
            </w:r>
          </w:p>
        </w:tc>
        <w:tc>
          <w:tcPr>
            <w:tcW w:type="dxa" w:w="2880"/>
          </w:tcPr>
          <w:p>
            <w:r>
              <w:rPr>
                <w:rFonts w:ascii="Calibri" w:hAnsi="Calibri"/>
                <w:sz w:val="22"/>
              </w:rPr>
              <w:t>Prioritizing debt reduction over large buyback increases ‘because they don’t know how long the war-driven price rallies will last.’ CEO warned refining capacity shortage could keep gasoline prices elevated through fall.</w:t>
            </w:r>
          </w:p>
        </w:tc>
        <w:tc>
          <w:tcPr>
            <w:tcW w:type="dxa" w:w="2880"/>
          </w:tcPr>
          <w:p>
            <w:r>
              <w:rPr>
                <w:rFonts w:ascii="Calibri" w:hAnsi="Calibri"/>
                <w:sz w:val="22"/>
              </w:rPr>
              <w:t>Relevant for APA’s capital allocation commentary. Management has signaled similar caution on buyback vs. debt mix — XOM’s approach validates APA’s prioritization of the $3B net debt target.</w:t>
            </w:r>
          </w:p>
        </w:tc>
      </w:tr>
      <w:tr>
        <w:tc>
          <w:tcPr>
            <w:tcW w:type="dxa" w:w="2880"/>
          </w:tcPr>
          <w:p>
            <w:r>
              <w:rPr>
                <w:rFonts w:ascii="Calibri" w:hAnsi="Calibri"/>
                <w:sz w:val="22"/>
              </w:rPr>
              <w:t>Baker Hughes (BKR) — Q2 2026 Earnings, Jul. 27, 2026</w:t>
            </w:r>
          </w:p>
        </w:tc>
        <w:tc>
          <w:tcPr>
            <w:tcW w:type="dxa" w:w="2880"/>
          </w:tcPr>
          <w:p>
            <w:r>
              <w:rPr>
                <w:rFonts w:ascii="Calibri" w:hAnsi="Calibri"/>
                <w:sz w:val="22"/>
              </w:rPr>
              <w:t>Expects annual global E&amp;P spending to ‘decline modestly’ in 2026, with growth in Latin America, offshore Africa, and onshore North America offset by lower Middle East spending. IET segment faces 1–2% revenue hit from Middle East disruptions.</w:t>
            </w:r>
          </w:p>
        </w:tc>
        <w:tc>
          <w:tcPr>
            <w:tcW w:type="dxa" w:w="2880"/>
          </w:tcPr>
          <w:p>
            <w:r>
              <w:rPr>
                <w:rFonts w:ascii="Calibri" w:hAnsi="Calibri"/>
                <w:sz w:val="22"/>
              </w:rPr>
              <w:t>Neutral. Global E&amp;P spending discipline is consistent with APA’s own capital restraint. Middle East disruption impact on oilfield services is a watch item for APA’s Egypt operations.</w:t>
            </w:r>
          </w:p>
        </w:tc>
      </w:tr>
    </w:tbl>
    <w:p>
      <w:pPr>
        <w:pStyle w:val="Heading3"/>
      </w:pPr>
      <w:r>
        <w:rPr>
          <w:rFonts w:ascii="Calibri" w:hAnsi="Calibri"/>
          <w:b/>
          <w:color w:val="3B4259"/>
          <w:sz w:val="24"/>
        </w:rPr>
        <w:t>7D. Key Questions for the August 6 Call — Informed by Peer Read-Throughs</w:t>
      </w:r>
    </w:p>
    <w:p>
      <w:pPr>
        <w:pStyle w:val="ListNumber"/>
        <w:ind w:left="360" w:hanging="360"/>
      </w:pPr>
      <w:r>
        <w:rPr>
          <w:rFonts w:ascii="Calibri" w:hAnsi="Calibri"/>
          <w:b/>
          <w:color w:val="525866"/>
          <w:sz w:val="22"/>
        </w:rPr>
        <w:t xml:space="preserve">Waha Improvement &amp; H2 Curtailment Assumption: </w:t>
      </w:r>
      <w:r>
        <w:rPr>
          <w:rFonts w:ascii="Calibri" w:hAnsi="Calibri"/>
          <w:color w:val="525866"/>
          <w:sz w:val="22"/>
        </w:rPr>
        <w:t>FANG confirmed Waha was positive all of July; MTDR expects Hugh Brinson to flow by end of Q3. Does management update the H2 curtailment assumption, and what is the sensitivity of the $1.1B gas trading target to Waha pricing?</w:t>
      </w:r>
    </w:p>
    <w:p>
      <w:pPr>
        <w:pStyle w:val="ListNumber"/>
        <w:ind w:left="360" w:hanging="360"/>
      </w:pPr>
      <w:r>
        <w:rPr>
          <w:rFonts w:ascii="Calibri" w:hAnsi="Calibri"/>
          <w:b/>
          <w:color w:val="525866"/>
          <w:sz w:val="22"/>
        </w:rPr>
        <w:t xml:space="preserve">Capital Returns Mix (Debt vs. Buybacks): </w:t>
      </w:r>
      <w:r>
        <w:rPr>
          <w:rFonts w:ascii="Calibri" w:hAnsi="Calibri"/>
          <w:color w:val="525866"/>
          <w:sz w:val="22"/>
        </w:rPr>
        <w:t>With $738M of Q2 FCF and total debt down $2.3B since YE 2024, how close is APA to the $3B net debt target? XOM/CVX both prioritized debt reduction — does APA follow suit or accelerate buybacks given the stock’s underperformance vs. XOP?</w:t>
      </w:r>
    </w:p>
    <w:p>
      <w:pPr>
        <w:pStyle w:val="ListNumber"/>
        <w:ind w:left="360" w:hanging="360"/>
      </w:pPr>
      <w:r>
        <w:rPr>
          <w:rFonts w:ascii="Calibri" w:hAnsi="Calibri"/>
          <w:b/>
          <w:color w:val="525866"/>
          <w:sz w:val="22"/>
        </w:rPr>
        <w:t xml:space="preserve">Cost Savings Trajectory: </w:t>
      </w:r>
      <w:r>
        <w:rPr>
          <w:rFonts w:ascii="Calibri" w:hAnsi="Calibri"/>
          <w:color w:val="525866"/>
          <w:sz w:val="22"/>
        </w:rPr>
        <w:t>The exit run-rate target has been raised three times in three quarters ($350M → $450M → $500M). Is there further upside, and what are the remaining levers? DVN and OVV both flagged additional efficiency gains ahead — is APA seeing similar opportunities?</w:t>
      </w:r>
    </w:p>
    <w:p>
      <w:pPr>
        <w:pStyle w:val="ListNumber"/>
        <w:ind w:left="360" w:hanging="360"/>
      </w:pPr>
      <w:r>
        <w:rPr>
          <w:rFonts w:ascii="Calibri" w:hAnsi="Calibri"/>
          <w:b/>
          <w:color w:val="525866"/>
          <w:sz w:val="22"/>
        </w:rPr>
        <w:t xml:space="preserve">Egypt Operations &amp; Geopolitical Risk: </w:t>
      </w:r>
      <w:r>
        <w:rPr>
          <w:rFonts w:ascii="Calibri" w:hAnsi="Calibri"/>
          <w:color w:val="525866"/>
          <w:sz w:val="22"/>
        </w:rPr>
        <w:t>Management confirmed Egypt teams are operating safely and without disruption. With Brent above $90/bbl, PSC cost recovery mechanics will continue to reduce adjusted volumes — what is the Q3 Egypt adjusted volume outlook?</w:t>
      </w:r>
    </w:p>
    <w:p>
      <w:pPr>
        <w:pStyle w:val="ListNumber"/>
        <w:ind w:left="360" w:hanging="360"/>
      </w:pPr>
      <w:r>
        <w:rPr>
          <w:rFonts w:ascii="Calibri" w:hAnsi="Calibri"/>
          <w:b/>
          <w:color w:val="525866"/>
          <w:sz w:val="22"/>
        </w:rPr>
        <w:t xml:space="preserve">Gas Trading Book 2027 Outlook: </w:t>
      </w:r>
      <w:r>
        <w:rPr>
          <w:rFonts w:ascii="Calibri" w:hAnsi="Calibri"/>
          <w:color w:val="525866"/>
          <w:sz w:val="22"/>
        </w:rPr>
        <w:t>Management guided $400M+ of pretax cash flow from gas trading in 2027 at strip. With Waha improving and new egress coming online, is there upside to the 2027 gas trading contribution?</w:t>
      </w:r>
    </w:p>
    <w:p>
      <w:pPr>
        <w:pStyle w:val="ListNumber"/>
        <w:ind w:left="360" w:hanging="360"/>
      </w:pPr>
      <w:r>
        <w:rPr>
          <w:rFonts w:ascii="Calibri" w:hAnsi="Calibri"/>
          <w:b/>
          <w:color w:val="525866"/>
          <w:sz w:val="22"/>
        </w:rPr>
        <w:t xml:space="preserve">Suriname &amp; Alaska Update: </w:t>
      </w:r>
      <w:r>
        <w:rPr>
          <w:rFonts w:ascii="Calibri" w:hAnsi="Calibri"/>
          <w:color w:val="525866"/>
          <w:sz w:val="22"/>
        </w:rPr>
        <w:t>GranMorgu remains on track for 2028 first oil. Alaska two-well program (exploration + appraisal) planned for upcoming winter. Any updates on Block 58 exploration timing or Alaska seismic results?</w:t>
      </w:r>
    </w:p>
    <w:p>
      <w:r>
        <w:rPr>
          <w:rFonts w:ascii="Calibri" w:hAnsi="Calibri"/>
          <w:i/>
          <w:color w:val="525866"/>
          <w:sz w:val="22"/>
        </w:rPr>
        <w:t xml:space="preserve">Sources for Peer Commentary Section: </w:t>
      </w:r>
      <w:r>
        <w:rPr>
          <w:rFonts w:ascii="Calibri" w:hAnsi="Calibri"/>
          <w:i/>
          <w:color w:val="525866"/>
          <w:sz w:val="22"/>
        </w:rPr>
        <w:t>Diamondback Energy Q2 2026 Earnings Release and Call (Aug. 3–4, 2026); Ovintiv Q2 2026 Earnings Release and Call (Jul. 23–24, 2026); Devon Energy Q2 2026 Earnings Call (Aug. 5, 2026); Matador Resources Q2 2026 Earnings Release (Aug. 5, 2026); ExxonMobil Q2 2026 Earnings (Jul. 31, 2026); Baker Hughes Q2 2026 Earnings (Jul. 27, 2026). All commentary is forward-looking (Q3 2026 / H2 2026 outlook) sourced from documents dated after each peer’s Q2 2026 results release.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