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APO (Apollo Global Management) before writing the preview. Let me gather recent filings, earnings history, and news.Let me read the Q1 2026 earnings materials and check recent news/analyst context.Let me get recent sector/private-credit context and any late-July APO-specific news to round out the preview.I have strong material. Let me pull quick color from one news item and compute price stats.# Apollo Global Management (APO) — Q2 2026 Earnings Preview</w:t>
      </w:r>
    </w:p>
    <w:bookmarkStart w:id="9" w:name="X8c5af97c44b3edd0880653ce2f532c77fad88eb"/>
    <w:p>
      <w:pPr>
        <w:pStyle w:val="Heading3"/>
      </w:pPr>
      <w:r>
        <w:t xml:space="preserve">Reports Tuesday, August 4, 2026 (before the open) | 2026Q2 Earnings Call</w:t>
      </w:r>
    </w:p>
    <w:p>
      <w:r>
        <w:pict>
          <v:rect style="width:0;height:1.5pt" o:hralign="center" o:hrstd="t" o:hr="t"/>
        </w:pict>
      </w:r>
    </w:p>
    <w:bookmarkEnd w:id="9"/>
    <w:bookmarkStart w:id="10" w:name="the-30-second-setup"/>
    <w:p>
      <w:pPr>
        <w:pStyle w:val="Heading2"/>
      </w:pPr>
      <w:r>
        <w:t xml:space="preserve">The 30-Second Setup</w:t>
      </w:r>
    </w:p>
    <w:p>
      <w:pPr>
        <w:pStyle w:val="FirstParagraph"/>
      </w:pPr>
      <w:r>
        <w:t xml:space="preserve">Apollo heads into Q2 with strong operating momentum but a stock that has been under a private-credit-driven cloud. Management enters the print having</w:t>
      </w:r>
      <w:r>
        <w:t xml:space="preserve"> </w:t>
      </w:r>
      <w:r>
        <w:rPr>
          <w:i/>
          <w:iCs/>
        </w:rPr>
        <w:t xml:space="preserve">reaffirmed</w:t>
      </w:r>
      <w:r>
        <w:t xml:space="preserve"> </w:t>
      </w:r>
      <w:r>
        <w:t xml:space="preserve">its full-year 2026 targets —</w:t>
      </w:r>
      <w:r>
        <w:t xml:space="preserve"> </w:t>
      </w:r>
      <w:r>
        <w:rPr>
          <w:b/>
          <w:bCs/>
        </w:rPr>
        <w:t xml:space="preserve">20%+ FRE growth</w:t>
      </w:r>
      <w:r>
        <w:t xml:space="preserve"> </w:t>
      </w:r>
      <w:r>
        <w:t xml:space="preserve">and</w:t>
      </w:r>
      <w:r>
        <w:t xml:space="preserve"> </w:t>
      </w:r>
      <w:r>
        <w:rPr>
          <w:b/>
          <w:bCs/>
        </w:rPr>
        <w:t xml:space="preserve">~10% SRE growth</w:t>
      </w:r>
      <w:r>
        <w:t xml:space="preserve"> </w:t>
      </w:r>
      <w:r>
        <w:t xml:space="preserve">(assuming an 11% alternatives return) — and having told investors on the Q1 call that Q2 origination should be</w:t>
      </w:r>
      <w:r>
        <w:t xml:space="preserve"> </w:t>
      </w:r>
      <w:r>
        <w:rPr>
          <w:i/>
          <w:iCs/>
        </w:rPr>
        <w:t xml:space="preserve">even stronger</w:t>
      </w:r>
      <w:r>
        <w:t xml:space="preserve"> </w:t>
      </w:r>
      <w:r>
        <w:t xml:space="preserve">than Q1's record-quality</w:t>
      </w:r>
      <w:r>
        <w:t xml:space="preserve"> </w:t>
      </w:r>
      <m:oMath>
        <m:r>
          <m:t>71</m:t>
        </m:r>
        <m:r>
          <m:t>B</m:t>
        </m:r>
        <m:r>
          <m:rPr>
            <m:sty m:val="p"/>
          </m:rPr>
          <m:t>,</m:t>
        </m:r>
        <m:r>
          <m:t>p</m:t>
        </m:r>
        <m:r>
          <m:t>o</m:t>
        </m:r>
        <m:r>
          <m:t>t</m:t>
        </m:r>
        <m:r>
          <m:t>e</m:t>
        </m:r>
        <m:r>
          <m:t>n</m:t>
        </m:r>
        <m:r>
          <m:t>t</m:t>
        </m:r>
        <m:r>
          <m:t>i</m:t>
        </m:r>
        <m:r>
          <m:t>a</m:t>
        </m:r>
        <m:r>
          <m:t>l</m:t>
        </m:r>
        <m:r>
          <m:t>l</m:t>
        </m:r>
        <m:r>
          <m:t>y</m:t>
        </m:r>
        <m:r>
          <m:t>a</m:t>
        </m:r>
        <m:r>
          <m:t>p</m:t>
        </m:r>
        <m:r>
          <m:t>p</m:t>
        </m:r>
        <m:r>
          <m:t>r</m:t>
        </m:r>
        <m:r>
          <m:t>o</m:t>
        </m:r>
        <m:r>
          <m:t>a</m:t>
        </m:r>
        <m:r>
          <m:t>c</m:t>
        </m:r>
        <m:r>
          <m:t>h</m:t>
        </m:r>
        <m:r>
          <m:t>i</m:t>
        </m:r>
        <m:r>
          <m:t>n</m:t>
        </m:r>
        <m:r>
          <m:t>g</m:t>
        </m:r>
        <m:r>
          <m:t>t</m:t>
        </m:r>
        <m:r>
          <m:t>h</m:t>
        </m:r>
        <m:r>
          <m:t>e</m:t>
        </m:r>
        <m:r>
          <m:t>a</m:t>
        </m:r>
        <m:r>
          <m:t>l</m:t>
        </m:r>
        <m:r>
          <m:t>l</m:t>
        </m:r>
        <m:r>
          <m:rPr>
            <m:sty m:val="p"/>
          </m:rPr>
          <m:t>−</m:t>
        </m:r>
        <m:r>
          <m:t>t</m:t>
        </m:r>
        <m:r>
          <m:t>i</m:t>
        </m:r>
        <m:r>
          <m:t>m</m:t>
        </m:r>
        <m:r>
          <m:t>e</m:t>
        </m:r>
        <m:r>
          <m:t>r</m:t>
        </m:r>
        <m:r>
          <m:t>e</m:t>
        </m:r>
        <m:r>
          <m:t>c</m:t>
        </m:r>
        <m:r>
          <m:t>o</m:t>
        </m:r>
        <m:r>
          <m:t>r</m:t>
        </m:r>
        <m:r>
          <m:t>d</m:t>
        </m:r>
        <m:r>
          <m:t>o</m:t>
        </m:r>
        <m:r>
          <m:t>f</m:t>
        </m:r>
        <m:r>
          <m:t> </m:t>
        </m:r>
      </m:oMath>
      <w:r>
        <w:t xml:space="preserve">97B. The question for the market is less about the franchise's growth and more about</w:t>
      </w:r>
      <w:r>
        <w:t xml:space="preserve"> </w:t>
      </w:r>
      <w:r>
        <w:rPr>
          <w:b/>
          <w:bCs/>
        </w:rPr>
        <w:t xml:space="preserve">spread durability, Athene's net-spread trajectory, and whether private-credit/BDC worries dent the wealth-channel and asset-quality narrative.</w:t>
      </w:r>
    </w:p>
    <w:p>
      <w:pPr>
        <w:pStyle w:val="BodyText"/>
      </w:pPr>
      <w:r>
        <w:rPr>
          <w:b/>
          <w:bCs/>
        </w:rPr>
        <w:t xml:space="preserve">Consensus expectations (per Street commentary):</w:t>
      </w:r>
    </w:p>
    <w:p>
      <w:pPr>
        <w:pStyle w:val="Compact"/>
        <w:numPr>
          <w:ilvl w:val="0"/>
          <w:numId w:val="1001"/>
        </w:numPr>
      </w:pPr>
      <w:r>
        <w:rPr>
          <w:b/>
          <w:bCs/>
        </w:rPr>
        <w:t xml:space="preserve">Adjusted net income (ANI)/EPS: ~$2.15</w:t>
      </w:r>
    </w:p>
    <w:p>
      <w:pPr>
        <w:pStyle w:val="Compact"/>
        <w:numPr>
          <w:ilvl w:val="0"/>
          <w:numId w:val="1001"/>
        </w:numPr>
      </w:pPr>
      <w:r>
        <w:rPr>
          <w:b/>
          <w:bCs/>
        </w:rPr>
        <w:t xml:space="preserve">Total inflows: ~$50.4 billion</w:t>
      </w:r>
    </w:p>
    <w:p>
      <w:pPr>
        <w:pStyle w:val="FirstParagraph"/>
      </w:pPr>
      <w:r>
        <w:rPr>
          <w:b/>
          <w:bCs/>
        </w:rPr>
        <w:t xml:space="preserve">Stock context (as of Aug 3 close, $129.45):</w:t>
      </w:r>
    </w:p>
    <w:p>
      <w:pPr>
        <w:pStyle w:val="Compact"/>
        <w:numPr>
          <w:ilvl w:val="0"/>
          <w:numId w:val="1002"/>
        </w:numPr>
      </w:pPr>
      <w:r>
        <w:t xml:space="preserve">Down</w:t>
      </w:r>
      <w:r>
        <w:t xml:space="preserve"> </w:t>
      </w:r>
      <w:r>
        <w:rPr>
          <w:b/>
          <w:bCs/>
        </w:rPr>
        <w:t xml:space="preserve">~12% YTD</w:t>
      </w:r>
      <w:r>
        <w:t xml:space="preserve"> </w:t>
      </w:r>
      <w:r>
        <w:t xml:space="preserve">(from ~$146.61 to start the year)</w:t>
      </w:r>
    </w:p>
    <w:p>
      <w:pPr>
        <w:pStyle w:val="Compact"/>
        <w:numPr>
          <w:ilvl w:val="0"/>
          <w:numId w:val="1002"/>
        </w:numPr>
      </w:pPr>
      <w:r>
        <w:rPr>
          <w:b/>
          <w:bCs/>
        </w:rPr>
        <w:t xml:space="preserve">~15% below</w:t>
      </w:r>
      <w:r>
        <w:t xml:space="preserve"> </w:t>
      </w:r>
      <w:r>
        <w:t xml:space="preserve">the January high (~$152.70)</w:t>
      </w:r>
    </w:p>
    <w:p>
      <w:pPr>
        <w:pStyle w:val="Compact"/>
        <w:numPr>
          <w:ilvl w:val="0"/>
          <w:numId w:val="1002"/>
        </w:numPr>
      </w:pPr>
      <w:r>
        <w:t xml:space="preserve">But</w:t>
      </w:r>
      <w:r>
        <w:t xml:space="preserve"> </w:t>
      </w:r>
      <w:r>
        <w:rPr>
          <w:b/>
          <w:bCs/>
        </w:rPr>
        <w:t xml:space="preserve">~24% above</w:t>
      </w:r>
      <w:r>
        <w:t xml:space="preserve"> </w:t>
      </w:r>
      <w:r>
        <w:t xml:space="preserve">the late-February trough (~$104.60) — the stock cratered in Feb–March alongside the broad market/private-credit scare and has been grinding back.</w:t>
      </w:r>
    </w:p>
    <w:p>
      <w:pPr>
        <w:pStyle w:val="FirstParagraph"/>
      </w:pPr>
      <w:r>
        <w:t xml:space="preserve">The bar into the print is one of</w:t>
      </w:r>
      <w:r>
        <w:t xml:space="preserve"> </w:t>
      </w:r>
      <w:r>
        <w:rPr>
          <w:b/>
          <w:bCs/>
        </w:rPr>
        <w:t xml:space="preserve">cautious near-term sentiment on a best-in-class franchise.</w:t>
      </w:r>
      <w:r>
        <w:t xml:space="preserve"> </w:t>
      </w:r>
      <w:r>
        <w:t xml:space="preserve">Recent daily-news color framed Apollo as facing persistent private-credit worries and a mixed non-tech IPO backdrop, even as its franchise remains "unparalleled" among alt managers alongside Blackstone and KKR.</w:t>
      </w:r>
    </w:p>
    <w:p>
      <w:r>
        <w:pict>
          <v:rect style="width:0;height:1.5pt" o:hralign="center" o:hrstd="t" o:hr="t"/>
        </w:pict>
      </w:r>
    </w:p>
    <w:bookmarkEnd w:id="10"/>
    <w:bookmarkStart w:id="11" w:name="what-q1-told-us-the-baseline-to-beat"/>
    <w:p>
      <w:pPr>
        <w:pStyle w:val="Heading2"/>
      </w:pPr>
      <w:r>
        <w:t xml:space="preserve">What Q1 Told Us (The Baseline to Beat)</w:t>
      </w:r>
    </w:p>
    <w:p>
      <w:pPr>
        <w:pStyle w:val="FirstParagraph"/>
      </w:pPr>
      <w:r>
        <w:t xml:space="preserve">Apollo's Q1 2026 set what management called "a strong tone for a strong year":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w:t>
            </w:r>
          </w:p>
        </w:tc>
        <w:tc>
          <w:tcPr/>
          <w:p>
            <w:pPr>
              <w:pStyle w:val="Compact"/>
            </w:pPr>
            <w:r>
              <w:t xml:space="preserve">Trend</w:t>
            </w:r>
          </w:p>
        </w:tc>
      </w:tr>
      <w:tr>
        <w:tc>
          <w:tcPr/>
          <w:p>
            <w:pPr>
              <w:pStyle w:val="Compact"/>
            </w:pPr>
            <w:r>
              <w:t xml:space="preserve">Fee-Related Earnings (FRE)</w:t>
            </w:r>
          </w:p>
        </w:tc>
        <w:tc>
          <w:tcPr/>
          <w:p>
            <w:pPr>
              <w:pStyle w:val="Compact"/>
            </w:pPr>
            <w:r>
              <w:t xml:space="preserve">$728M / $1.17 per share</w:t>
            </w:r>
          </w:p>
        </w:tc>
        <w:tc>
          <w:tcPr/>
          <w:p>
            <w:pPr>
              <w:pStyle w:val="Compact"/>
            </w:pPr>
            <w:r>
              <w:rPr>
                <w:b/>
                <w:bCs/>
              </w:rPr>
              <w:t xml:space="preserve">+30% YoY, +6% QoQ (record)</w:t>
            </w:r>
          </w:p>
        </w:tc>
      </w:tr>
      <w:tr>
        <w:tc>
          <w:tcPr/>
          <w:p>
            <w:pPr>
              <w:pStyle w:val="Compact"/>
            </w:pPr>
            <w:r>
              <w:t xml:space="preserve">Spread-Related Earnings (SRE)</w:t>
            </w:r>
          </w:p>
        </w:tc>
        <w:tc>
          <w:tcPr/>
          <w:p>
            <w:pPr>
              <w:pStyle w:val="Compact"/>
            </w:pPr>
            <w:r>
              <w:t xml:space="preserve">$719M / $1.15 per share</w:t>
            </w:r>
          </w:p>
        </w:tc>
        <w:tc>
          <w:tcPr/>
          <w:p>
            <w:pPr>
              <w:pStyle w:val="Compact"/>
            </w:pPr>
            <w:r>
              <w:t xml:space="preserve">Alts a headwind (see below)</w:t>
            </w:r>
          </w:p>
        </w:tc>
      </w:tr>
      <w:tr>
        <w:tc>
          <w:tcPr/>
          <w:p>
            <w:pPr>
              <w:pStyle w:val="Compact"/>
            </w:pPr>
            <w:r>
              <w:t xml:space="preserve">Adjusted Net Income (ANI)</w:t>
            </w:r>
          </w:p>
        </w:tc>
        <w:tc>
          <w:tcPr/>
          <w:p>
            <w:pPr>
              <w:pStyle w:val="Compact"/>
            </w:pPr>
            <w:r>
              <w:t xml:space="preserve">~</w:t>
            </w:r>
            <m:oMath>
              <m:r>
                <m:t>1.2</m:t>
              </m:r>
              <m:r>
                <m:t>B</m:t>
              </m:r>
              <m:r>
                <m:rPr>
                  <m:sty m:val="p"/>
                </m:rPr>
                <m:t>/</m:t>
              </m:r>
              <m:r>
                <m:rPr>
                  <m:sty m:val="p"/>
                </m:rPr>
                <m:t>*</m:t>
              </m:r>
              <m:r>
                <m:rPr>
                  <m:sty m:val="p"/>
                </m:rPr>
                <m:t>*</m:t>
              </m:r>
            </m:oMath>
            <w:r>
              <w:t xml:space="preserve">1.94 per share**</w:t>
            </w:r>
          </w:p>
        </w:tc>
        <w:tc>
          <w:tcPr/>
          <w:p>
            <w:pPr>
              <w:pStyle w:val="Compact"/>
            </w:pPr>
            <w:r>
              <w:t xml:space="preserve">—</w:t>
            </w:r>
          </w:p>
        </w:tc>
      </w:tr>
      <w:tr>
        <w:tc>
          <w:tcPr/>
          <w:p>
            <w:pPr>
              <w:pStyle w:val="Compact"/>
            </w:pPr>
            <w:r>
              <w:t xml:space="preserve">AUM</w:t>
            </w:r>
          </w:p>
        </w:tc>
        <w:tc>
          <w:tcPr/>
          <w:p>
            <w:pPr>
              <w:pStyle w:val="Compact"/>
            </w:pPr>
            <w:r>
              <w:rPr>
                <w:b/>
                <w:bCs/>
              </w:rPr>
              <w:t xml:space="preserve">&gt;$1.03 trillion</w:t>
            </w:r>
          </w:p>
        </w:tc>
        <w:tc>
          <w:tcPr/>
          <w:p>
            <w:pPr>
              <w:pStyle w:val="Compact"/>
            </w:pPr>
            <w:r>
              <w:t xml:space="preserve">+31% YoY; crossed $1T milestone</w:t>
            </w:r>
          </w:p>
        </w:tc>
      </w:tr>
      <w:tr>
        <w:tc>
          <w:tcPr/>
          <w:p>
            <w:pPr>
              <w:pStyle w:val="Compact"/>
            </w:pPr>
            <w:r>
              <w:t xml:space="preserve">FRE margin</w:t>
            </w:r>
          </w:p>
        </w:tc>
        <w:tc>
          <w:tcPr/>
          <w:p>
            <w:pPr>
              <w:pStyle w:val="Compact"/>
            </w:pPr>
            <w:r>
              <w:rPr>
                <w:b/>
                <w:bCs/>
              </w:rPr>
              <w:t xml:space="preserve">58%</w:t>
            </w:r>
          </w:p>
        </w:tc>
        <w:tc>
          <w:tcPr/>
          <w:p>
            <w:pPr>
              <w:pStyle w:val="Compact"/>
            </w:pPr>
            <w:r>
              <w:t xml:space="preserve">+~50 bps YoY</w:t>
            </w:r>
          </w:p>
        </w:tc>
      </w:tr>
      <w:tr>
        <w:tc>
          <w:tcPr/>
          <w:p>
            <w:pPr>
              <w:pStyle w:val="Compact"/>
            </w:pPr>
            <w:r>
              <w:t xml:space="preserve">Capital Solutions (ACS) fees</w:t>
            </w:r>
          </w:p>
        </w:tc>
        <w:tc>
          <w:tcPr/>
          <w:p>
            <w:pPr>
              <w:pStyle w:val="Compact"/>
            </w:pPr>
            <w:r>
              <w:t xml:space="preserve">$246M</w:t>
            </w:r>
          </w:p>
        </w:tc>
        <w:tc>
          <w:tcPr/>
          <w:p>
            <w:pPr>
              <w:pStyle w:val="Compact"/>
            </w:pPr>
            <w:r>
              <w:t xml:space="preserve">4th straight quarter &gt;$200M</w:t>
            </w:r>
          </w:p>
        </w:tc>
      </w:tr>
      <w:tr>
        <w:tc>
          <w:tcPr/>
          <w:p>
            <w:pPr>
              <w:pStyle w:val="Compact"/>
            </w:pPr>
            <w:r>
              <w:t xml:space="preserve">Origination</w:t>
            </w:r>
          </w:p>
        </w:tc>
        <w:tc>
          <w:tcPr/>
          <w:p>
            <w:pPr>
              <w:pStyle w:val="Compact"/>
            </w:pPr>
            <w:r>
              <w:t xml:space="preserve">$71B</w:t>
            </w:r>
          </w:p>
        </w:tc>
        <w:tc>
          <w:tcPr/>
          <w:p>
            <w:pPr>
              <w:pStyle w:val="Compact"/>
            </w:pPr>
            <w:r>
              <w:t xml:space="preserve">+25% YoY</w:t>
            </w:r>
          </w:p>
        </w:tc>
      </w:tr>
      <w:tr>
        <w:tc>
          <w:tcPr/>
          <w:p>
            <w:pPr>
              <w:pStyle w:val="Compact"/>
            </w:pPr>
            <w:r>
              <w:t xml:space="preserve">Total inflows</w:t>
            </w:r>
          </w:p>
        </w:tc>
        <w:tc>
          <w:tcPr/>
          <w:p>
            <w:pPr>
              <w:pStyle w:val="Compact"/>
            </w:pPr>
            <m:oMath>
              <m:r>
                <m:t>115</m:t>
              </m:r>
              <m:r>
                <m:t>B</m:t>
              </m:r>
              <m:r>
                <m:rPr>
                  <m:sty m:val="p"/>
                </m:rPr>
                <m:t>(</m:t>
              </m:r>
            </m:oMath>
            <w:r>
              <w:t xml:space="preserve">50B organic + $65B Athora/PIC)</w:t>
            </w:r>
          </w:p>
        </w:tc>
        <w:tc>
          <w:tcPr/>
          <w:p>
            <w:pPr>
              <w:pStyle w:val="Compact"/>
            </w:pPr>
            <w:r>
              <w:t xml:space="preserve">AM $30B, Athene $20B organic</w:t>
            </w:r>
          </w:p>
        </w:tc>
      </w:tr>
      <w:tr>
        <w:tc>
          <w:tcPr/>
          <w:p>
            <w:pPr>
              <w:pStyle w:val="Compact"/>
            </w:pPr>
            <w:r>
              <w:t xml:space="preserve">Dividend (annualized)</w:t>
            </w:r>
          </w:p>
        </w:tc>
        <w:tc>
          <w:tcPr/>
          <w:p>
            <w:pPr>
              <w:pStyle w:val="Compact"/>
            </w:pPr>
            <w:r>
              <w:t xml:space="preserve">$2.25/share</w:t>
            </w:r>
          </w:p>
        </w:tc>
        <w:tc>
          <w:tcPr/>
          <w:p>
            <w:pPr>
              <w:pStyle w:val="Compact"/>
            </w:pPr>
            <w:r>
              <w:t xml:space="preserve">+10% YoY ($0.5625/qtr)</w:t>
            </w:r>
          </w:p>
        </w:tc>
      </w:tr>
    </w:tbl>
    <w:p>
      <w:pPr>
        <w:pStyle w:val="BodyText"/>
      </w:pPr>
      <w:r>
        <w:t xml:space="preserve">The sequential move from</w:t>
      </w:r>
      <w:r>
        <w:t xml:space="preserve"> </w:t>
      </w:r>
      <m:oMath>
        <m:r>
          <m:t>1.94</m:t>
        </m:r>
        <m:r>
          <m:rPr>
            <m:sty m:val="p"/>
          </m:rPr>
          <m:t>(</m:t>
        </m:r>
        <m:r>
          <m:t>Q</m:t>
        </m:r>
        <m:r>
          <m:t>1</m:t>
        </m:r>
        <m:r>
          <m:rPr>
            <m:sty m:val="p"/>
          </m:rPr>
          <m:t>)</m:t>
        </m:r>
        <m:r>
          <m:rPr>
            <m:sty m:val="p"/>
          </m:rPr>
          <m:t>*</m:t>
        </m:r>
        <m:r>
          <m:rPr>
            <m:sty m:val="p"/>
          </m:rPr>
          <m:t>*</m:t>
        </m:r>
        <m:r>
          <m:t>t</m:t>
        </m:r>
        <m:r>
          <m:t>o</m:t>
        </m:r>
        <m:r>
          <m:t>a</m:t>
        </m:r>
        <m:r>
          <m:t>S</m:t>
        </m:r>
        <m:r>
          <m:t>t</m:t>
        </m:r>
        <m:r>
          <m:t>r</m:t>
        </m:r>
        <m:r>
          <m:t>e</m:t>
        </m:r>
        <m:r>
          <m:t>e</m:t>
        </m:r>
        <m:r>
          <m:t>t</m:t>
        </m:r>
        <m:r>
          <m:t>e</m:t>
        </m:r>
        <m:r>
          <m:t>s</m:t>
        </m:r>
        <m:r>
          <m:t>t</m:t>
        </m:r>
        <m:r>
          <m:t>i</m:t>
        </m:r>
        <m:r>
          <m:t>m</m:t>
        </m:r>
        <m:r>
          <m:t>a</m:t>
        </m:r>
        <m:r>
          <m:t>t</m:t>
        </m:r>
        <m:r>
          <m:t>e</m:t>
        </m:r>
        <m:r>
          <m:t>o</m:t>
        </m:r>
        <m:r>
          <m:t>f</m:t>
        </m:r>
        <m:r>
          <m:rPr>
            <m:sty m:val="p"/>
          </m:rPr>
          <m:t>*</m:t>
        </m:r>
        <m:r>
          <m:rPr>
            <m:sty m:val="p"/>
          </m:rPr>
          <m:t>*</m:t>
        </m:r>
        <m:r>
          <m:t> </m:t>
        </m:r>
      </m:oMath>
      <w:r>
        <w:rPr>
          <w:b/>
          <w:bCs/>
        </w:rPr>
        <w:t xml:space="preserve">2.15 (Q2)</w:t>
      </w:r>
      <w:r>
        <w:t xml:space="preserve"> </w:t>
      </w:r>
      <w:r>
        <w:t xml:space="preserve">implies the market expects a meaningful step-up, consistent with management's guidance that origination and ACS fees should accelerate.</w:t>
      </w:r>
    </w:p>
    <w:p>
      <w:r>
        <w:pict>
          <v:rect style="width:0;height:1.5pt" o:hralign="center" o:hrstd="t" o:hr="t"/>
        </w:pict>
      </w:r>
    </w:p>
    <w:bookmarkEnd w:id="11"/>
    <w:bookmarkStart w:id="17" w:name="Xed46e563bc14ea4cef076ecd5e20b531b26d6f5"/>
    <w:p>
      <w:pPr>
        <w:pStyle w:val="Heading2"/>
      </w:pPr>
      <w:r>
        <w:t xml:space="preserve">The Five Things That Actually Matter This Quarter</w:t>
      </w:r>
    </w:p>
    <w:bookmarkStart w:id="12" w:name="Xca9087a866e41015a3318c22639db887020ff4f"/>
    <w:p>
      <w:pPr>
        <w:pStyle w:val="Heading3"/>
      </w:pPr>
      <w:r>
        <w:t xml:space="preserve">1. Origination &amp; Capital Solutions (ACS) — the growth engine</w:t>
      </w:r>
    </w:p>
    <w:p>
      <w:pPr>
        <w:pStyle w:val="FirstParagraph"/>
      </w:pPr>
      <w:r>
        <w:t xml:space="preserve">This is the key "beat" driver. On the Q1 call, Marc Rowan explicitly guided that</w:t>
      </w:r>
      <w:r>
        <w:t xml:space="preserve"> </w:t>
      </w:r>
      <w:r>
        <w:rPr>
          <w:b/>
          <w:bCs/>
        </w:rPr>
        <w:t xml:space="preserve">Q2 origination should be even stronger</w:t>
      </w:r>
      <w:r>
        <w:t xml:space="preserve"> </w:t>
      </w:r>
      <w:r>
        <w:t xml:space="preserve">and said Apollo "has a shot" at doing something close to its record $97B quarter. ACS fees have now printed four straight quarters above $200M — and management frames ACS strength as a</w:t>
      </w:r>
      <w:r>
        <w:t xml:space="preserve"> </w:t>
      </w:r>
      <w:r>
        <w:rPr>
          <w:i/>
          <w:iCs/>
        </w:rPr>
        <w:t xml:space="preserve">diagnostic</w:t>
      </w:r>
      <w:r>
        <w:t xml:space="preserve"> </w:t>
      </w:r>
      <w:r>
        <w:t xml:space="preserve">of origination quality, not just quantity.</w:t>
      </w:r>
      <w:r>
        <w:t xml:space="preserve"> </w:t>
      </w:r>
      <w:r>
        <w:rPr>
          <w:b/>
          <w:bCs/>
        </w:rPr>
        <w:t xml:space="preserve">Watch:</w:t>
      </w:r>
      <w:r>
        <w:t xml:space="preserve"> </w:t>
      </w:r>
      <w:r>
        <w:t xml:space="preserve">the origination dollar figure (did it approach</w:t>
      </w:r>
      <w:r>
        <w:t xml:space="preserve"> </w:t>
      </w:r>
      <m:oMath>
        <m:r>
          <m:t>90</m:t>
        </m:r>
        <m:r>
          <m:rPr>
            <m:sty m:val="p"/>
          </m:rPr>
          <m:t>–</m:t>
        </m:r>
        <m:r>
          <m:t>97</m:t>
        </m:r>
        <m:r>
          <m:t>B</m:t>
        </m:r>
        <m:r>
          <m:rPr>
            <m:sty m:val="p"/>
          </m:rPr>
          <m:t>?</m:t>
        </m:r>
        <m:r>
          <m:rPr>
            <m:sty m:val="p"/>
          </m:rPr>
          <m:t>)</m:t>
        </m:r>
        <m:r>
          <m:rPr>
            <m:sty m:val="p"/>
          </m:rPr>
          <m:t>,</m:t>
        </m:r>
        <m:r>
          <m:t>t</m:t>
        </m:r>
        <m:r>
          <m:t>h</m:t>
        </m:r>
        <m:r>
          <m:t>e</m:t>
        </m:r>
        <m:r>
          <m:t>I</m:t>
        </m:r>
        <m:r>
          <m:t>G</m:t>
        </m:r>
        <m:r>
          <m:rPr>
            <m:sty m:val="p"/>
          </m:rPr>
          <m:t>/</m:t>
        </m:r>
        <m:r>
          <m:t>s</m:t>
        </m:r>
        <m:r>
          <m:t>u</m:t>
        </m:r>
        <m:r>
          <m:t>b</m:t>
        </m:r>
        <m:r>
          <m:rPr>
            <m:sty m:val="p"/>
          </m:rPr>
          <m:t>−</m:t>
        </m:r>
        <m:r>
          <m:t>I</m:t>
        </m:r>
        <m:r>
          <m:t>G</m:t>
        </m:r>
        <m:r>
          <m:t>m</m:t>
        </m:r>
        <m:r>
          <m:t>i</m:t>
        </m:r>
        <m:r>
          <m:t>x</m:t>
        </m:r>
        <m:r>
          <m:rPr>
            <m:sty m:val="p"/>
          </m:rPr>
          <m:t>(</m:t>
        </m:r>
        <m:r>
          <m:t> </m:t>
        </m:r>
        <m:r>
          <m:t>75</m:t>
        </m:r>
      </m:oMath>
      <w:r>
        <w:t xml:space="preserve">19B Paramount/Warner Bros. bridge** and</w:t>
      </w:r>
      <w:r>
        <w:t xml:space="preserve"> </w:t>
      </w:r>
      <w:r>
        <w:rPr>
          <w:b/>
          <w:bCs/>
        </w:rPr>
        <w:t xml:space="preserve">$8B+ of AI data-center financings</w:t>
      </w:r>
      <w:r>
        <w:t xml:space="preserve">.</w:t>
      </w:r>
    </w:p>
    <w:bookmarkEnd w:id="12"/>
    <w:bookmarkStart w:id="13" w:name="Xd8281b53b120956936cabfe7bf3fbfbeb15125b"/>
    <w:p>
      <w:pPr>
        <w:pStyle w:val="Heading3"/>
      </w:pPr>
      <w:r>
        <w:t xml:space="preserve">2. Athene / SRE — the spread question</w:t>
      </w:r>
    </w:p>
    <w:p>
      <w:pPr>
        <w:pStyle w:val="FirstParagraph"/>
      </w:pPr>
      <w:r>
        <w:t xml:space="preserve">This is the most scrutinized line. In Q1,</w:t>
      </w:r>
      <w:r>
        <w:t xml:space="preserve"> </w:t>
      </w:r>
      <w:r>
        <w:rPr>
          <w:b/>
          <w:bCs/>
        </w:rPr>
        <w:t xml:space="preserve">net spread was 97 bps vs. 120 bps</w:t>
      </w:r>
      <w:r>
        <w:t xml:space="preserve"> </w:t>
      </w:r>
      <w:r>
        <w:t xml:space="preserve">the prior quarter — but management attributed the miss to a weak-markets alts return (6% vs. 11% assumed) plus</w:t>
      </w:r>
      <w:r>
        <w:t xml:space="preserve"> </w:t>
      </w:r>
      <w:r>
        <w:rPr>
          <w:b/>
          <w:bCs/>
        </w:rPr>
        <w:t xml:space="preserve">two non-recurring items</w:t>
      </w:r>
      <w:r>
        <w:t xml:space="preserve"> </w:t>
      </w:r>
      <w:r>
        <w:t xml:space="preserve">(an Atlas idiosyncratic impairment and Athora's PIC-related capital raise) that together cost ~3.5–4 points of annualized alts return. Normalizing to an 11% alts return, Q1 spread would have been ~122 bps —</w:t>
      </w:r>
      <w:r>
        <w:t xml:space="preserve"> </w:t>
      </w:r>
      <w:r>
        <w:rPr>
          <w:b/>
          <w:bCs/>
        </w:rPr>
        <w:t xml:space="preserve">in line with the 120–125 bps full-year guide.</w:t>
      </w:r>
    </w:p>
    <w:p>
      <w:pPr>
        <w:pStyle w:val="BodyText"/>
      </w:pPr>
      <w:r>
        <w:rPr>
          <w:b/>
          <w:bCs/>
        </w:rPr>
        <w:t xml:space="preserve">Watch for:</w:t>
      </w:r>
      <w:r>
        <w:t xml:space="preserve"> </w:t>
      </w:r>
      <w:r>
        <w:t xml:space="preserve">(a) does net spread stabilize/recover toward 120–125 bps as management promised (prepayment headwinds were said to have peaked in Q4 and to be dissipating)? (b) the alts/AAA return (AAA is ~80% of the portfolio); (c) whether the non-recurring Q1 drags indeed did not repeat. Also note Athene was sitting on **~$40B of cash + treasuries** as defensive dry powder — is it being deployed?</w:t>
      </w:r>
    </w:p>
    <w:bookmarkEnd w:id="13"/>
    <w:bookmarkStart w:id="14" w:name="X4ce111ce9884e00a8c651ac30c7b1940734c293"/>
    <w:p>
      <w:pPr>
        <w:pStyle w:val="Heading3"/>
      </w:pPr>
      <w:r>
        <w:t xml:space="preserve">3. Private credit / ADS wealth flows — the sentiment swing factor</w:t>
      </w:r>
    </w:p>
    <w:p>
      <w:pPr>
        <w:pStyle w:val="FirstParagraph"/>
      </w:pPr>
      <w:r>
        <w:t xml:space="preserve">This is where the stock's discount lives. Management pushed back hard in Q1 on private-credit fears, reframing the debate: the "</w:t>
      </w:r>
      <w:r>
        <w:t xml:space="preserve">$2 trillion levered lending" slice the press obsesses over is a fraction of a ~$</w:t>
      </w:r>
      <w:r>
        <w:t xml:space="preserve">40 trillion opportunity dominated by</w:t>
      </w:r>
      <w:r>
        <w:t xml:space="preserve"> </w:t>
      </w:r>
      <w:r>
        <w:rPr>
          <w:b/>
          <w:bCs/>
        </w:rPr>
        <w:t xml:space="preserve">investment-grade</w:t>
      </w:r>
      <w:r>
        <w:t xml:space="preserve"> </w:t>
      </w:r>
      <w:r>
        <w:t xml:space="preserve">private credit. On the flagship BDC (</w:t>
      </w:r>
      <w:r>
        <w:rPr>
          <w:b/>
          <w:bCs/>
        </w:rPr>
        <w:t xml:space="preserve">ADS</w:t>
      </w:r>
      <w:r>
        <w:t xml:space="preserve">): Q1 saw an uptick in redemption requests, but</w:t>
      </w:r>
      <w:r>
        <w:t xml:space="preserve"> </w:t>
      </w:r>
      <w:r>
        <w:rPr>
          <w:b/>
          <w:bCs/>
        </w:rPr>
        <w:t xml:space="preserve">94% of investors did not request redemption, flows were net flat, and preliminary April performance was +~80 bps.</w:t>
      </w:r>
      <w:r>
        <w:t xml:space="preserve"> </w:t>
      </w:r>
      <w:r>
        <w:rPr>
          <w:b/>
          <w:bCs/>
        </w:rPr>
        <w:t xml:space="preserve">Watch:</w:t>
      </w:r>
      <w:r>
        <w:t xml:space="preserve"> </w:t>
      </w:r>
      <w:r>
        <w:t xml:space="preserve">ADS redemption trends and net flows for the full quarter, Global Wealth fundraising (was $4B in Q1), and any dispersion commentary — management expects a "flight to quality" among managers to benefit Apollo.</w:t>
      </w:r>
    </w:p>
    <w:bookmarkEnd w:id="14"/>
    <w:bookmarkStart w:id="15" w:name="Xdde374dc8f092fa284cc41ff2aa4b3cd38ba863"/>
    <w:p>
      <w:pPr>
        <w:pStyle w:val="Heading3"/>
      </w:pPr>
      <w:r>
        <w:t xml:space="preserve">4. Capital formation &amp; product innovation</w:t>
      </w:r>
    </w:p>
    <w:p>
      <w:pPr>
        <w:pStyle w:val="FirstParagraph"/>
      </w:pPr>
      <w:r>
        <w:t xml:space="preserve">Beyond the headline ~$50B inflow estimate, watch the composition:</w:t>
      </w:r>
    </w:p>
    <w:p>
      <w:pPr>
        <w:pStyle w:val="Compact"/>
        <w:numPr>
          <w:ilvl w:val="0"/>
          <w:numId w:val="1003"/>
        </w:numPr>
      </w:pPr>
      <w:r>
        <w:rPr>
          <w:b/>
          <w:bCs/>
        </w:rPr>
        <w:t xml:space="preserve">AMAPS</w:t>
      </w:r>
      <w:r>
        <w:t xml:space="preserve"> </w:t>
      </w:r>
      <w:r>
        <w:t xml:space="preserve">(Apollo Multi-Asset Prime Securities) — the CLO replacement product; Athene had ~$11B and expected it to roughly double by year-end as CLO exposure (down below 8%) runs off.</w:t>
      </w:r>
    </w:p>
    <w:p>
      <w:pPr>
        <w:pStyle w:val="Compact"/>
        <w:numPr>
          <w:ilvl w:val="0"/>
          <w:numId w:val="1003"/>
        </w:numPr>
      </w:pPr>
      <w:r>
        <w:rPr>
          <w:b/>
          <w:bCs/>
        </w:rPr>
        <w:t xml:space="preserve">Athora/PIC</w:t>
      </w:r>
      <w:r>
        <w:t xml:space="preserve"> </w:t>
      </w:r>
      <w:r>
        <w:t xml:space="preserve">— the U.K. acquisition begins contributing in Q2 at</w:t>
      </w:r>
      <w:r>
        <w:t xml:space="preserve"> </w:t>
      </w:r>
      <w:r>
        <w:rPr>
          <w:b/>
          <w:bCs/>
        </w:rPr>
        <w:t xml:space="preserve">~20 bps annualized</w:t>
      </w:r>
      <w:r>
        <w:t xml:space="preserve"> </w:t>
      </w:r>
      <w:r>
        <w:t xml:space="preserve">management fees initially, with upside as the balance sheet is repositioned under PRA rules. This should show up in AM revenue for the first time.</w:t>
      </w:r>
    </w:p>
    <w:p>
      <w:pPr>
        <w:pStyle w:val="Compact"/>
        <w:numPr>
          <w:ilvl w:val="0"/>
          <w:numId w:val="1003"/>
        </w:numPr>
      </w:pPr>
      <w:r>
        <w:rPr>
          <w:b/>
          <w:bCs/>
        </w:rPr>
        <w:t xml:space="preserve">New Markets</w:t>
      </w:r>
      <w:r>
        <w:t xml:space="preserve"> </w:t>
      </w:r>
      <w:r>
        <w:t xml:space="preserve">(stable value, structured settlements) at Athene — topped</w:t>
      </w:r>
      <w:r>
        <w:t xml:space="preserve"> </w:t>
      </w:r>
      <m:oMath>
        <m:r>
          <m:t>1</m:t>
        </m:r>
        <m:r>
          <m:t>B</m:t>
        </m:r>
        <m:r>
          <m:t>i</m:t>
        </m:r>
        <m:r>
          <m:t>n</m:t>
        </m:r>
        <m:r>
          <m:t>Q</m:t>
        </m:r>
        <m:r>
          <m:t>1</m:t>
        </m:r>
        <m:r>
          <m:rPr>
            <m:sty m:val="p"/>
          </m:rPr>
          <m:t>,</m:t>
        </m:r>
        <m:r>
          <m:t>t</m:t>
        </m:r>
        <m:r>
          <m:t>a</m:t>
        </m:r>
        <m:r>
          <m:t>r</m:t>
        </m:r>
        <m:r>
          <m:t>g</m:t>
        </m:r>
        <m:r>
          <m:t>e</m:t>
        </m:r>
        <m:r>
          <m:t>t</m:t>
        </m:r>
        <m:r>
          <m:t>i</m:t>
        </m:r>
        <m:r>
          <m:t>n</m:t>
        </m:r>
        <m:r>
          <m:t>g</m:t>
        </m:r>
        <m:r>
          <m:rPr>
            <m:sty m:val="p"/>
          </m:rPr>
          <m:t>*</m:t>
        </m:r>
        <m:r>
          <m:rPr>
            <m:sty m:val="p"/>
          </m:rPr>
          <m:t>*</m:t>
        </m:r>
        <m:r>
          <m:rPr>
            <m:sty m:val="p"/>
          </m:rPr>
          <m:t>&gt;</m:t>
        </m:r>
      </m:oMath>
      <w:r>
        <w:t xml:space="preserve">5B for the year**.</w:t>
      </w:r>
    </w:p>
    <w:p>
      <w:pPr>
        <w:pStyle w:val="Compact"/>
        <w:numPr>
          <w:ilvl w:val="0"/>
          <w:numId w:val="1003"/>
        </w:numPr>
      </w:pPr>
      <w:r>
        <w:rPr>
          <w:b/>
          <w:bCs/>
        </w:rPr>
        <w:t xml:space="preserve">Daily pricing rollout</w:t>
      </w:r>
      <w:r>
        <w:t xml:space="preserve"> </w:t>
      </w:r>
      <w:r>
        <w:t xml:space="preserve">— management committed to 100% daily pricing across the credit book by 9:30am; look for a progress update, as it's central to the transparency narrative.</w:t>
      </w:r>
    </w:p>
    <w:bookmarkEnd w:id="15"/>
    <w:bookmarkStart w:id="16" w:name="Xe8191aefc2de00f10f0080ec9e7a1e72ec343f8"/>
    <w:p>
      <w:pPr>
        <w:pStyle w:val="Heading3"/>
      </w:pPr>
      <w:r>
        <w:t xml:space="preserve">5. Guidance, capital return &amp; regulation</w:t>
      </w:r>
    </w:p>
    <w:p>
      <w:pPr>
        <w:pStyle w:val="FirstParagraph"/>
      </w:pPr>
      <w:r>
        <w:t xml:space="preserve">Management reaffirmed</w:t>
      </w:r>
      <w:r>
        <w:t xml:space="preserve"> </w:t>
      </w:r>
      <w:r>
        <w:rPr>
          <w:b/>
          <w:bCs/>
        </w:rPr>
        <w:t xml:space="preserve">20%+ FRE / ~10% SRE growth for 2026</w:t>
      </w:r>
      <w:r>
        <w:t xml:space="preserve"> </w:t>
      </w:r>
      <w:r>
        <w:t xml:space="preserve">and the 2029 targets (~</w:t>
      </w:r>
      <m:oMath>
        <m:r>
          <m:t>5</m:t>
        </m:r>
        <m:r>
          <m:t>B</m:t>
        </m:r>
        <m:r>
          <m:t>A</m:t>
        </m:r>
        <m:r>
          <m:t>M</m:t>
        </m:r>
        <m:r>
          <m:rPr>
            <m:sty m:val="p"/>
          </m:rPr>
          <m:t>+</m:t>
        </m:r>
        <m:r>
          <m:t> </m:t>
        </m:r>
      </m:oMath>
      <w:r>
        <w:t xml:space="preserve">5B RS earnings). Rowan said Apollo needs no M&amp;A to hit 2029 and has been an</w:t>
      </w:r>
      <w:r>
        <w:t xml:space="preserve"> </w:t>
      </w:r>
      <w:r>
        <w:rPr>
          <w:b/>
          <w:bCs/>
        </w:rPr>
        <w:t xml:space="preserve">aggressive buyer of its own stock</w:t>
      </w:r>
      <w:r>
        <w:t xml:space="preserve"> </w:t>
      </w:r>
      <w:r>
        <w:t xml:space="preserve">in risk-off periods — relevant given the YTD drawdown. On regulation, watch commentary on</w:t>
      </w:r>
      <w:r>
        <w:t xml:space="preserve"> </w:t>
      </w:r>
      <w:r>
        <w:rPr>
          <w:b/>
          <w:bCs/>
        </w:rPr>
        <w:t xml:space="preserve">NAIC CLO capital charges, PRA funded-reinsurance scrutiny, and offshore/Cayman focus</w:t>
      </w:r>
      <w:r>
        <w:t xml:space="preserve"> </w:t>
      </w:r>
      <w:r>
        <w:t xml:space="preserve">— Apollo positions these as competitive tailwinds given its transparency and capital base (~$35B, second-largest in the industry, pursuing an AA rating).</w:t>
      </w:r>
    </w:p>
    <w:p>
      <w:r>
        <w:pict>
          <v:rect style="width:0;height:1.5pt" o:hralign="center" o:hrstd="t" o:hr="t"/>
        </w:pict>
      </w:r>
    </w:p>
    <w:bookmarkEnd w:id="16"/>
    <w:bookmarkEnd w:id="17"/>
    <w:bookmarkStart w:id="18" w:name="bull-vs-bear-into-the-print"/>
    <w:p>
      <w:pPr>
        <w:pStyle w:val="Heading2"/>
      </w:pPr>
      <w:r>
        <w:t xml:space="preserve">Bull vs. Bear Into the Print</w:t>
      </w:r>
    </w:p>
    <w:p>
      <w:pPr>
        <w:pStyle w:val="FirstParagraph"/>
      </w:pPr>
      <w:r>
        <w:rPr>
          <w:b/>
          <w:bCs/>
        </w:rPr>
        <w:t xml:space="preserve">Bull case:</w:t>
      </w:r>
      <w:r>
        <w:t xml:space="preserve"> </w:t>
      </w:r>
      <w:r>
        <w:t xml:space="preserve">Record-quality origination and ACS fees drive a strong FRE beat; Athene spread normalizes toward 120–125 bps as one-off drags roll off and prepay headwinds fade; ADS/wealth flows prove resilient; the stock's ~15% discount from highs + reaffirmed 20% FRE growth = attractive risk/reward with management buying back stock.</w:t>
      </w:r>
    </w:p>
    <w:p>
      <w:pPr>
        <w:pStyle w:val="BodyText"/>
      </w:pPr>
      <w:r>
        <w:rPr>
          <w:b/>
          <w:bCs/>
        </w:rPr>
        <w:t xml:space="preserve">Bear case:</w:t>
      </w:r>
      <w:r>
        <w:t xml:space="preserve"> </w:t>
      </w:r>
      <w:r>
        <w:t xml:space="preserve">Private-credit/BDC redemption headlines persist; retail annuity and funding-agreement volumes stay soft amid "irrational" competitive spread pressure Rowan flagged in Q1; alts returns disappoint again; and a "beat" on FRE is overshadowed by any SRE/spread wobble — the line the market is most nervous about.</w:t>
      </w:r>
    </w:p>
    <w:p>
      <w:r>
        <w:pict>
          <v:rect style="width:0;height:1.5pt" o:hralign="center" o:hrstd="t" o:hr="t"/>
        </w:pict>
      </w:r>
    </w:p>
    <w:bookmarkEnd w:id="18"/>
    <w:bookmarkStart w:id="19" w:name="bottom-line"/>
    <w:p>
      <w:pPr>
        <w:pStyle w:val="Heading2"/>
      </w:pPr>
      <w:r>
        <w:t xml:space="preserve">Bottom Line</w:t>
      </w:r>
    </w:p>
    <w:p>
      <w:pPr>
        <w:pStyle w:val="FirstParagraph"/>
      </w:pPr>
      <w:r>
        <w:t xml:space="preserve">Apollo is executing at a high level operationally —</w:t>
      </w:r>
      <w:r>
        <w:t xml:space="preserve"> </w:t>
      </w:r>
      <w:r>
        <w:rPr>
          <w:b/>
          <w:bCs/>
        </w:rPr>
        <w:t xml:space="preserve">record FRE,</w:t>
      </w:r>
      <w:r>
        <w:rPr>
          <w:b/>
          <w:bCs/>
        </w:rPr>
        <w:t xml:space="preserve"> </w:t>
      </w:r>
      <m:oMath>
        <m:r>
          <m:t>1</m:t>
        </m:r>
        <m:r>
          <m:t>T</m:t>
        </m:r>
        <m:r>
          <m:rPr>
            <m:sty m:val="p"/>
          </m:rPr>
          <m:t>+</m:t>
        </m:r>
        <m:r>
          <m:t>A</m:t>
        </m:r>
        <m:r>
          <m:t>U</m:t>
        </m:r>
        <m:r>
          <m:t>M</m:t>
        </m:r>
        <m:r>
          <m:rPr>
            <m:sty m:val="p"/>
          </m:rPr>
          <m:t>,</m:t>
        </m:r>
        <m:r>
          <m:t>a</m:t>
        </m:r>
        <m:r>
          <m:t>c</m:t>
        </m:r>
        <m:r>
          <m:t>c</m:t>
        </m:r>
        <m:r>
          <m:t>e</m:t>
        </m:r>
        <m:r>
          <m:t>l</m:t>
        </m:r>
        <m:r>
          <m:t>e</m:t>
        </m:r>
        <m:r>
          <m:t>r</m:t>
        </m:r>
        <m:r>
          <m:t>a</m:t>
        </m:r>
        <m:r>
          <m:t>t</m:t>
        </m:r>
        <m:r>
          <m:t>i</m:t>
        </m:r>
        <m:r>
          <m:t>n</m:t>
        </m:r>
        <m:r>
          <m:t>g</m:t>
        </m:r>
        <m:r>
          <m:t>o</m:t>
        </m:r>
        <m:r>
          <m:t>r</m:t>
        </m:r>
        <m:r>
          <m:t>i</m:t>
        </m:r>
        <m:r>
          <m:t>g</m:t>
        </m:r>
        <m:r>
          <m:t>i</m:t>
        </m:r>
        <m:r>
          <m:t>n</m:t>
        </m:r>
        <m:r>
          <m:t>a</m:t>
        </m:r>
        <m:r>
          <m:t>t</m:t>
        </m:r>
        <m:r>
          <m:t>i</m:t>
        </m:r>
        <m:r>
          <m:t>o</m:t>
        </m:r>
        <m:r>
          <m:t>n</m:t>
        </m:r>
        <m:r>
          <m:rPr>
            <m:sty m:val="p"/>
          </m:rPr>
          <m:t>,</m:t>
        </m:r>
        <m:r>
          <m:t>a</m:t>
        </m:r>
        <m:r>
          <m:t>n</m:t>
        </m:r>
        <m:r>
          <m:t>d</m:t>
        </m:r>
        <m:r>
          <m:t>r</m:t>
        </m:r>
        <m:r>
          <m:t>e</m:t>
        </m:r>
        <m:r>
          <m:t>a</m:t>
        </m:r>
        <m:r>
          <m:t>f</m:t>
        </m:r>
        <m:r>
          <m:t>f</m:t>
        </m:r>
        <m:r>
          <m:t>i</m:t>
        </m:r>
        <m:r>
          <m:t>r</m:t>
        </m:r>
        <m:r>
          <m:t>m</m:t>
        </m:r>
        <m:r>
          <m:t>e</m:t>
        </m:r>
        <m:r>
          <m:t>d</m:t>
        </m:r>
        <m:r>
          <m:t>20</m:t>
        </m:r>
      </m:oMath>
      <w:r>
        <w:rPr>
          <w:b/>
          <w:bCs/>
        </w:rPr>
        <w:t xml:space="preserve">97B record, (2) whether Athene's net spread visibly stabilizes toward 120–125 bps, and (3) ADS/wealth-channel flow resilience.</w:t>
      </w:r>
      <w:r>
        <w:t xml:space="preserve"> </w:t>
      </w:r>
      <w:r>
        <w:t xml:space="preserve">Constructive answers on all three could re-rate a stock that has lagged; a spread or flow disappointment is the most likely source of a negative reaction given already-cautious positioning.</w:t>
      </w:r>
    </w:p>
    <w:p>
      <w:r>
        <w:pict>
          <v:rect style="width:0;height:1.5pt" o:hralign="center" o:hrstd="t" o:hr="t"/>
        </w:pict>
      </w:r>
    </w:p>
    <w:p>
      <w:pPr>
        <w:pStyle w:val="FirstParagraph"/>
      </w:pPr>
      <w:r>
        <w:rPr>
          <w:i/>
          <w:iCs/>
        </w:rPr>
        <w:t xml:space="preserve">Sources: Apollo Q1 2026 earnings call transcript and earnings release (May 6, 2026); Apollo daily news digest (Jul 31, 2026); historical price data through Aug 3, 2026. Consensus figures reflect Street commentary as reported in the news digest. Actual reported metrics and any updated guidance will be available with the Aug 4 release.</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2026-08-04T00:39:30Z</dcterms:created>
  <dcterms:modified xsi:type="dcterms:W3CDTF">2026-08-04T00:39:30Z</dcterms:modified>
</cp:coreProperties>
</file>

<file path=docProps/custom.xml><?xml version="1.0" encoding="utf-8"?>
<Properties xmlns="http://schemas.openxmlformats.org/officeDocument/2006/custom-properties" xmlns:vt="http://schemas.openxmlformats.org/officeDocument/2006/docPropsVTypes"/>
</file>