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59f71ae5a45d51044dd74c855803bb01f6cb6db"/>
    <w:p>
      <w:pPr>
        <w:pStyle w:val="Heading1"/>
      </w:pPr>
      <w:r>
        <w:t xml:space="preserve">Apollo Global Management (APO) — Q2 2026 Earnings Preview</w:t>
      </w:r>
    </w:p>
    <w:p>
      <w:pPr>
        <w:pStyle w:val="FirstParagraph"/>
      </w:pPr>
      <w:r>
        <w:rPr>
          <w:b/>
          <w:bCs/>
        </w:rPr>
        <w:t xml:space="preserve">Report date:</w:t>
      </w:r>
      <w:r>
        <w:t xml:space="preserve"> </w:t>
      </w:r>
      <w:r>
        <w:t xml:space="preserve">August 4, 2026 (before market open) |</w:t>
      </w:r>
      <w:r>
        <w:t xml:space="preserve"> </w:t>
      </w:r>
      <w:r>
        <w:rPr>
          <w:b/>
          <w:bCs/>
        </w:rPr>
        <w:t xml:space="preserve">Call:</w:t>
      </w:r>
      <w:r>
        <w:t xml:space="preserve"> </w:t>
      </w:r>
      <w:r>
        <w:t xml:space="preserve">8:30 a.m.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Apollo shares have been volatile heading into this report, closing around **</w:t>
      </w:r>
      <m:oMath>
        <m:r>
          <m:t>129</m:t>
        </m:r>
        <m:r>
          <m:rPr>
            <m:sty m:val="p"/>
          </m:rPr>
          <m:t>*</m:t>
        </m:r>
        <m:r>
          <m:rPr>
            <m:sty m:val="p"/>
          </m:rPr>
          <m:t>*</m:t>
        </m:r>
        <m:r>
          <m:t>o</m:t>
        </m:r>
        <m:r>
          <m:t>n</m:t>
        </m:r>
        <m:r>
          <m:t>A</m:t>
        </m:r>
        <m:r>
          <m:t>u</m:t>
        </m:r>
        <m:r>
          <m:t>g</m:t>
        </m:r>
        <m:r>
          <m:t>u</m:t>
        </m:r>
        <m:r>
          <m:t>s</m:t>
        </m:r>
        <m:r>
          <m:t>t</m:t>
        </m:r>
        <m:r>
          <m:t>3</m:t>
        </m:r>
        <m:r>
          <m:t>a</m:t>
        </m:r>
        <m:r>
          <m:t>f</m:t>
        </m:r>
        <m:r>
          <m:t>t</m:t>
        </m:r>
        <m:r>
          <m:t>e</m:t>
        </m:r>
        <m:r>
          <m:t>r</m:t>
        </m:r>
        <m:r>
          <m:t>a</m:t>
        </m:r>
        <m:r>
          <m:t>c</m:t>
        </m:r>
        <m:r>
          <m:t>h</m:t>
        </m:r>
        <m:r>
          <m:t>o</m:t>
        </m:r>
        <m:r>
          <m:t>p</m:t>
        </m:r>
        <m:r>
          <m:t>p</m:t>
        </m:r>
        <m:r>
          <m:t>y</m:t>
        </m:r>
        <m:r>
          <m:t>s</m:t>
        </m:r>
        <m:r>
          <m:t>u</m:t>
        </m:r>
        <m:r>
          <m:t>m</m:t>
        </m:r>
        <m:r>
          <m:t>m</m:t>
        </m:r>
        <m:r>
          <m:t>e</m:t>
        </m:r>
        <m:r>
          <m:t>r</m:t>
        </m:r>
        <m:r>
          <m:t>t</m:t>
        </m:r>
        <m:r>
          <m:t>h</m:t>
        </m:r>
        <m:r>
          <m:t>a</m:t>
        </m:r>
        <m:r>
          <m:t>t</m:t>
        </m:r>
        <m:r>
          <m:t>s</m:t>
        </m:r>
        <m:r>
          <m:t>a</m:t>
        </m:r>
        <m:r>
          <m:t>w</m:t>
        </m:r>
        <m:r>
          <m:t>t</m:t>
        </m:r>
        <m:r>
          <m:t>h</m:t>
        </m:r>
        <m:r>
          <m:t>e</m:t>
        </m:r>
        <m:r>
          <m:t>s</m:t>
        </m:r>
        <m:r>
          <m:t>t</m:t>
        </m:r>
        <m:r>
          <m:t>o</m:t>
        </m:r>
        <m:r>
          <m:t>c</m:t>
        </m:r>
        <m:r>
          <m:t>k</m:t>
        </m:r>
        <m:r>
          <m:t>s</m:t>
        </m:r>
        <m:r>
          <m:t>w</m:t>
        </m:r>
        <m:r>
          <m:t>i</m:t>
        </m:r>
        <m:r>
          <m:t>n</m:t>
        </m:r>
        <m:r>
          <m:t>g</m:t>
        </m:r>
        <m:r>
          <m:t>f</m:t>
        </m:r>
        <m:r>
          <m:t>r</m:t>
        </m:r>
        <m:r>
          <m:t>o</m:t>
        </m:r>
        <m:r>
          <m:t>m</m:t>
        </m:r>
        <m:r>
          <m:t>t</m:t>
        </m:r>
        <m:r>
          <m:t>h</m:t>
        </m:r>
        <m:r>
          <m:t>e</m:t>
        </m:r>
        <m:r>
          <m:t>m</m:t>
        </m:r>
        <m:r>
          <m:t>i</m:t>
        </m:r>
        <m:r>
          <m:t>d</m:t>
        </m:r>
        <m:r>
          <m:rPr>
            <m:sty m:val="p"/>
          </m:rPr>
          <m:t>−</m:t>
        </m:r>
      </m:oMath>
      <w:r>
        <w:t xml:space="preserve">130s in June down toward $115-119 in late June/July on private-credit jitters, before recovering into the print. Sentiment is described as cautious near-term: Apollo (APO) was scheduled to report Q2 earnings on Tuesday, August 4 before the US open, with the Street expecting EPS of $2.15 and inflows of approximately $50.4 billion, and sentiment was cautious in the immediate term given persistent private credit worries and a mixed non-tech IPO backdrop, though the company's franchise remains unparalleled among alternative asset managers alongside Blackstone (BX) and KKR, with continued robust asset gathering.</w:t>
      </w:r>
    </w:p>
    <w:p>
      <w:pPr>
        <w:pStyle w:val="BodyText"/>
      </w:pPr>
      <w:r>
        <w:t xml:space="preserve">Street EPS estimates cluster in the</w:t>
      </w:r>
      <w:r>
        <w:t xml:space="preserve"> </w:t>
      </w:r>
      <m:oMath>
        <m:r>
          <m:t>2.05</m:t>
        </m:r>
        <m:r>
          <m:rPr>
            <m:sty m:val="p"/>
          </m:rPr>
          <m:t>–</m:t>
        </m:r>
      </m:oMath>
      <w:r>
        <w:rPr>
          <w:b/>
          <w:bCs/>
        </w:rPr>
        <w:t xml:space="preserve">2.16</w:t>
      </w:r>
      <w:r>
        <w:t xml:space="preserve"> </w:t>
      </w:r>
      <w:r>
        <w:t xml:space="preserve">range (vs. roughly</w:t>
      </w:r>
      <w:r>
        <w:t xml:space="preserve"> </w:t>
      </w:r>
      <m:oMath>
        <m:r>
          <m:t>1.72</m:t>
        </m:r>
        <m:r>
          <m:rPr>
            <m:sty m:val="p"/>
          </m:rPr>
          <m:t>−</m:t>
        </m:r>
      </m:oMath>
      <w:r>
        <w:t xml:space="preserve">1.94 a year ago), and consensus is looking for full-year 2026 EPS near $8.23. Apollo has beaten bottom-line estimates in a slim majority of recent quarters but has also missed twice in the last four, so the bar is not extreme — the real swing factor is qualitative: durability of origination, spread trends at Athene, and the trajectory of retail private-credit redemptions.</w:t>
      </w:r>
    </w:p>
    <w:bookmarkEnd w:id="9"/>
    <w:bookmarkStart w:id="10" w:name="X97ece6bf1215932e19b3c64dac2da93d135fa14"/>
    <w:p>
      <w:pPr>
        <w:pStyle w:val="Heading2"/>
      </w:pPr>
      <w:r>
        <w:t xml:space="preserve">2. What Apollo Already Told Us: The July 1 Pre-Announcement</w:t>
      </w:r>
    </w:p>
    <w:p>
      <w:pPr>
        <w:pStyle w:val="FirstParagraph"/>
      </w:pPr>
      <w:r>
        <w:t xml:space="preserve">Unusually, Apollo and its insurance subsidiary Athene pre-released a key data point three-plus weeks before the full report. On July 1, the companies disclosed that Q2 alternative net investment income is expected to come in around</w:t>
      </w:r>
      <w:r>
        <w:t xml:space="preserve"> </w:t>
      </w:r>
      <w:r>
        <w:rPr>
          <w:b/>
          <w:bCs/>
        </w:rPr>
        <w:t xml:space="preserve">$350 million pre-tax, implying a 9% annualized return</w:t>
      </w:r>
      <w:r>
        <w:t xml:space="preserve"> </w:t>
      </w:r>
      <w:r>
        <w:t xml:space="preserve">— with Athene's core pooled alternatives vehicle (AAA) tracking to a</w:t>
      </w:r>
      <w:r>
        <w:t xml:space="preserve"> </w:t>
      </w:r>
      <w:r>
        <w:rPr>
          <w:b/>
          <w:bCs/>
        </w:rPr>
        <w:t xml:space="preserve">10% annualized return</w:t>
      </w:r>
      <w:r>
        <w:t xml:space="preserve"> </w:t>
      </w:r>
      <w:r>
        <w:t xml:space="preserve">and other alternative holdings (including retirement platforms like Athora) around</w:t>
      </w:r>
      <w:r>
        <w:t xml:space="preserve"> </w:t>
      </w:r>
      <w:r>
        <w:rPr>
          <w:b/>
          <w:bCs/>
        </w:rPr>
        <w:t xml:space="preserve">6%</w:t>
      </w:r>
      <w:r>
        <w:t xml:space="preserve">. That's a meaningful sequential improvement from Q1, when the comparable figures were $205 million pre-tax (6% overall, 7% on the pooled vehicle, 3% on other alternatives) against a brutal ~(17)% annualized S&amp;P 500 quarter. Management stressed these are unaudited, preliminary estimates subject to change — but directionally, it suggests Athene's alts book is normalizing back toward (though still below) the long-term 11% target used in spread guidance.</w:t>
      </w:r>
    </w:p>
    <w:bookmarkEnd w:id="10"/>
    <w:bookmarkStart w:id="11" w:name="X601173d5b1f81083b61a7fce0832552f487bfdd"/>
    <w:p>
      <w:pPr>
        <w:pStyle w:val="Heading2"/>
      </w:pPr>
      <w:r>
        <w:t xml:space="preserve">3. Q1 Recap and the Guidance Apollo Needs to Defend</w:t>
      </w:r>
    </w:p>
    <w:p>
      <w:pPr>
        <w:pStyle w:val="FirstParagraph"/>
      </w:pPr>
      <w:r>
        <w:t xml:space="preserve">Q1 2026 was framed internally as a strong start to the year. On the last call, management noted first quarter results set a strong tone for the year. We generated record fee-related earnings of $728 million or $1.17 per share, spread related earnings of $719 million or $1.15 per share and total earnings or adjusted net income of $1.2 billion or $1.94 per share. The firm also declared a common dividend at our new higher rate annualizing to $2.25 per share and reflecting a 10% growth rate year-on-year.</w:t>
      </w:r>
    </w:p>
    <w:p>
      <w:pPr>
        <w:pStyle w:val="BodyText"/>
      </w:pPr>
      <w:r>
        <w:t xml:space="preserve">Critically, management</w:t>
      </w:r>
      <w:r>
        <w:t xml:space="preserve"> </w:t>
      </w:r>
      <w:r>
        <w:rPr>
          <w:b/>
          <w:bCs/>
        </w:rPr>
        <w:t xml:space="preserve">reaffirmed full-year 2026 guidance</w:t>
      </w:r>
      <w:r>
        <w:t xml:space="preserve"> </w:t>
      </w:r>
      <w:r>
        <w:t xml:space="preserve">of</w:t>
      </w:r>
      <w:r>
        <w:t xml:space="preserve"> </w:t>
      </w:r>
      <w:r>
        <w:rPr>
          <w:b/>
          <w:bCs/>
        </w:rPr>
        <w:t xml:space="preserve">20%+ FRE growth</w:t>
      </w:r>
      <w:r>
        <w:t xml:space="preserve"> </w:t>
      </w:r>
      <w:r>
        <w:t xml:space="preserve">and</w:t>
      </w:r>
      <w:r>
        <w:t xml:space="preserve"> </w:t>
      </w:r>
      <w:r>
        <w:rPr>
          <w:b/>
          <w:bCs/>
        </w:rPr>
        <w:t xml:space="preserve">10% SRE growth</w:t>
      </w:r>
      <w:r>
        <w:t xml:space="preserve"> </w:t>
      </w:r>
      <w:r>
        <w:t xml:space="preserve">(assuming an 11% return on alternatives), and a</w:t>
      </w:r>
      <w:r>
        <w:t xml:space="preserve"> </w:t>
      </w:r>
      <w:r>
        <w:rPr>
          <w:b/>
          <w:bCs/>
        </w:rPr>
        <w:t xml:space="preserve">120–125 basis point</w:t>
      </w:r>
      <w:r>
        <w:t xml:space="preserve"> </w:t>
      </w:r>
      <w:r>
        <w:t xml:space="preserve">net spread range at Athene. Investors will want to hear that reaffirmation repeated on this call, especially after a summer of private-credit headline risk. On origination, Rowan set an aggressive bar: origination for the quarter was a particularly high quality, $71 billion... Based on the pipeline we see, I expect origination in Q2 to be even stronger... Recall that our record quarter for origination ever has been $97 billion. Whether we get all the way there or not will depend on how hard the team works, but I think we have a shot doing something very close to that — a specific, checkable claim the Street will scrutinize against Q2 actuals.</w:t>
      </w:r>
    </w:p>
    <w:p>
      <w:pPr>
        <w:pStyle w:val="BodyText"/>
      </w:pPr>
      <w:r>
        <w:t xml:space="preserve">Capital formation was also unusually large in Q1 at $115 billion (including the</w:t>
      </w:r>
      <w:r>
        <w:t xml:space="preserve"> </w:t>
      </w:r>
      <m:oMath>
        <m:r>
          <m:t>65</m:t>
        </m:r>
        <m:r>
          <m:t>B</m:t>
        </m:r>
        <m:r>
          <m:t>A</m:t>
        </m:r>
        <m:r>
          <m:t>t</m:t>
        </m:r>
        <m:r>
          <m:t>h</m:t>
        </m:r>
        <m:r>
          <m:t>o</m:t>
        </m:r>
        <m:r>
          <m:t>r</m:t>
        </m:r>
        <m:r>
          <m:t>a</m:t>
        </m:r>
        <m:r>
          <m:rPr>
            <m:sty m:val="p"/>
          </m:rPr>
          <m:t>/</m:t>
        </m:r>
        <m:r>
          <m:t>P</m:t>
        </m:r>
        <m:r>
          <m:t>I</m:t>
        </m:r>
        <m:r>
          <m:t>C</m:t>
        </m:r>
        <m:r>
          <m:t>c</m:t>
        </m:r>
        <m:r>
          <m:t>l</m:t>
        </m:r>
        <m:r>
          <m:t>o</m:t>
        </m:r>
        <m:r>
          <m:t>s</m:t>
        </m:r>
        <m:r>
          <m:t>e</m:t>
        </m:r>
        <m:r>
          <m:rPr>
            <m:sty m:val="p"/>
          </m:rPr>
          <m:t>)</m:t>
        </m:r>
        <m:r>
          <m:rPr>
            <m:sty m:val="p"/>
          </m:rPr>
          <m:t>,</m:t>
        </m:r>
        <m:r>
          <m:t>a</m:t>
        </m:r>
        <m:r>
          <m:t>n</m:t>
        </m:r>
        <m:r>
          <m:t>d</m:t>
        </m:r>
        <m:r>
          <m:t>t</m:t>
        </m:r>
        <m:r>
          <m:t>o</m:t>
        </m:r>
        <m:r>
          <m:t>t</m:t>
        </m:r>
        <m:r>
          <m:t>a</m:t>
        </m:r>
        <m:r>
          <m:t>l</m:t>
        </m:r>
        <m:r>
          <m:t>A</m:t>
        </m:r>
        <m:r>
          <m:t>U</m:t>
        </m:r>
        <m:r>
          <m:t>M</m:t>
        </m:r>
        <m:r>
          <m:t>c</m:t>
        </m:r>
        <m:r>
          <m:t>r</m:t>
        </m:r>
        <m:r>
          <m:t>o</m:t>
        </m:r>
        <m:r>
          <m:t>s</m:t>
        </m:r>
        <m:r>
          <m:t>s</m:t>
        </m:r>
        <m:r>
          <m:t>e</m:t>
        </m:r>
        <m:r>
          <m:t>d</m:t>
        </m:r>
        <m:r>
          <m:rPr>
            <m:sty m:val="p"/>
          </m:rPr>
          <m:t>*</m:t>
        </m:r>
        <m:r>
          <m:rPr>
            <m:sty m:val="p"/>
          </m:rPr>
          <m:t>*</m:t>
        </m:r>
      </m:oMath>
      <w:r>
        <w:t xml:space="preserve">1 trillion** for the first time — a headline milestone Apollo will likely reiterate or build on this quarter.</w:t>
      </w:r>
    </w:p>
    <w:bookmarkEnd w:id="11"/>
    <w:bookmarkStart w:id="12" w:name="Xb8cb5265e77d9d3cd62f0f62e938ded444d5223"/>
    <w:p>
      <w:pPr>
        <w:pStyle w:val="Heading2"/>
      </w:pPr>
      <w:r>
        <w:t xml:space="preserve">4. The Private Credit Overhang: ADS and BDC Redemptions</w:t>
      </w:r>
    </w:p>
    <w:p>
      <w:pPr>
        <w:pStyle w:val="FirstParagraph"/>
      </w:pPr>
      <w:r>
        <w:t xml:space="preserve">This is probably the single biggest swing factor for sentiment on the call. Apollo's flagship retail BDC, Apollo Debt Solutions (ADS, ~$25-26B in assets), has now gated redemptions for a second consecutive quarter. Requests to withdraw hit roughly 16.8% of NAV in Q2 (following 11%+ in Q1), with a sharp split between U.S. onshore investors (~4.3%) and offshore clients (~12.5%). Apollo capped withdrawals at the standard 5% quarterly limit and guided to **net outflows of roughly $400 million (~3% of NAV)** for the quarter. This mirrored gating actions at Cliffwater and BlackRock's competing vehicles, and it triggered a sector-wide selloff in APO, KKR, Ares and Blue Owl shares in late June.</w:t>
      </w:r>
    </w:p>
    <w:p>
      <w:pPr>
        <w:pStyle w:val="BodyText"/>
      </w:pPr>
      <w:r>
        <w:t xml:space="preserve">Management's framing on the Q1 call anticipated this: consistent with industry trends within BDCs, we saw an uptick in redemption requests at ADS, though it's worth noting that 94% of the fund's investors did not submit a redemption request... Beyond ADS, our diverse suite of semi-liquid and drawdown offerings continue to resonate as inflows remain consistent with recent quarters in aggregate. Marc Rowan has also gone out of his way to draw a distinction between broad "private credit" fears and Apollo's actual book, arguing the levered-lending market that dominates headlines is a $2 trillion slice of this market... The investment-grade private credit market, which is being driven by the global industrial renaissance, is a $38 trillion market, and that Athene's own exposure to levered lending is de minimis, rounds closer to 0 than to 1%, came in at 0.4%. Expect this narrative to be repeated forcefully, alongside updates on daily-pricing/transparency initiatives (ICE partnership, market-making) that Apollo has leaned on to differentiate itself from peers amid valuation-integrity concerns (including reported NY DA and SEC scrutiny of private-credit marks industry-wide).</w:t>
      </w:r>
    </w:p>
    <w:p>
      <w:pPr>
        <w:pStyle w:val="BodyText"/>
      </w:pPr>
      <w:r>
        <w:rPr>
          <w:b/>
          <w:bCs/>
        </w:rPr>
        <w:t xml:space="preserve">Watch for:</w:t>
      </w:r>
      <w:r>
        <w:t xml:space="preserve"> </w:t>
      </w:r>
      <w:r>
        <w:t xml:space="preserve">Q3 redemption-request trends (management flagged in Q1 that elevated BDC redemptions could persist for "the next two quarters"), any commentary on Global Wealth channel fundraising momentum vs. the ADS drag, and whether the "94% of investors didn't redeem" framing holds up.</w:t>
      </w:r>
    </w:p>
    <w:bookmarkEnd w:id="12"/>
    <w:bookmarkStart w:id="13" w:name="X1f57e6cc44c3d1fb71baab38734e9a2241b86e1"/>
    <w:p>
      <w:pPr>
        <w:pStyle w:val="Heading2"/>
      </w:pPr>
      <w:r>
        <w:t xml:space="preserve">5. Retirement Services / Athene: Spread, Competition, and Balance-Sheet Derisking</w:t>
      </w:r>
    </w:p>
    <w:p>
      <w:pPr>
        <w:pStyle w:val="FirstParagraph"/>
      </w:pPr>
      <w:r>
        <w:t xml:space="preserve">Athene remains the other half of the story. Key threads to track:</w:t>
      </w:r>
    </w:p>
    <w:p>
      <w:pPr>
        <w:pStyle w:val="Compact"/>
        <w:numPr>
          <w:ilvl w:val="0"/>
          <w:numId w:val="1001"/>
        </w:numPr>
      </w:pPr>
      <w:r>
        <w:rPr>
          <w:b/>
          <w:bCs/>
        </w:rPr>
        <w:t xml:space="preserve">Net spread</w:t>
      </w:r>
      <w:r>
        <w:t xml:space="preserve">: Q1 came in at 97bps (or ~120-125bps adjusted for the 11% alts assumption), with management guiding to stabilization through the year as prepayment headwinds fade. We continue to expect net spread stabilization as headwinds from asset prepayments continue to dissipate and the roll-off of profitable post-COVID businesses also dissipates.</w:t>
      </w:r>
    </w:p>
    <w:p>
      <w:pPr>
        <w:pStyle w:val="Compact"/>
        <w:numPr>
          <w:ilvl w:val="0"/>
          <w:numId w:val="1001"/>
        </w:numPr>
      </w:pPr>
      <w:r>
        <w:rPr>
          <w:b/>
          <w:bCs/>
        </w:rPr>
        <w:t xml:space="preserve">Competitive annuity pricing</w:t>
      </w:r>
      <w:r>
        <w:t xml:space="preserve">: Rowan flagged lots of competition in our view, irrational competition of people putting business on the books at ridiculously low spreads in Q1, and Apollo chose to pull back rather than chase volume — worth checking whether that discipline continued or origination reaccelerated.</w:t>
      </w:r>
    </w:p>
    <w:p>
      <w:pPr>
        <w:pStyle w:val="Compact"/>
        <w:numPr>
          <w:ilvl w:val="0"/>
          <w:numId w:val="1001"/>
        </w:numPr>
      </w:pPr>
      <w:r>
        <w:rPr>
          <w:b/>
          <w:bCs/>
        </w:rPr>
        <w:t xml:space="preserve">Dry powder</w:t>
      </w:r>
      <w:r>
        <w:t xml:space="preserve">: Athene was sitting on roughly</w:t>
      </w:r>
      <w:r>
        <w:t xml:space="preserve"> </w:t>
      </w:r>
      <w:r>
        <w:rPr>
          <w:b/>
          <w:bCs/>
        </w:rPr>
        <w:t xml:space="preserve">$40 billion</w:t>
      </w:r>
      <w:r>
        <w:t xml:space="preserve"> </w:t>
      </w:r>
      <w:r>
        <w:t xml:space="preserve">of cash/treasuries at quarter-end, giving it flexibility to be "offensive" if spreads widen — a lever to watch given elevated rates and geopolitical volatility (Iran/oil, tariffs) through Q2.</w:t>
      </w:r>
    </w:p>
    <w:p>
      <w:pPr>
        <w:pStyle w:val="Compact"/>
        <w:numPr>
          <w:ilvl w:val="0"/>
          <w:numId w:val="1001"/>
        </w:numPr>
      </w:pPr>
      <w:r>
        <w:rPr>
          <w:b/>
          <w:bCs/>
        </w:rPr>
        <w:t xml:space="preserve">CLO runoff / AMAPS</w:t>
      </w:r>
      <w:r>
        <w:t xml:space="preserve">: Athene continues rotating out of CLO tranches (down to &lt;8% of the balance sheet) into its proprietary AMAPS structured product, which had grown to $11 billion and was expected to roughly double by year-end.</w:t>
      </w:r>
    </w:p>
    <w:p>
      <w:pPr>
        <w:pStyle w:val="Compact"/>
        <w:numPr>
          <w:ilvl w:val="0"/>
          <w:numId w:val="1001"/>
        </w:numPr>
      </w:pPr>
      <w:r>
        <w:rPr>
          <w:b/>
          <w:bCs/>
        </w:rPr>
        <w:t xml:space="preserve">Regulatory</w:t>
      </w:r>
      <w:r>
        <w:t xml:space="preserve">: NAIC's CLO capital-charge review and the UK PRA's scrutiny of offshore funded reinsurance are both live threads Apollo has publicly supported (arguing for "equal capital for equal risk"), and could resurface in Q&amp;A given industry-wide fundco/Bermuda reinsurance concerns.</w:t>
      </w:r>
    </w:p>
    <w:bookmarkEnd w:id="13"/>
    <w:bookmarkStart w:id="14" w:name="Xde6ef68786b0bf828bba986299dde9831d0e888"/>
    <w:p>
      <w:pPr>
        <w:pStyle w:val="Heading2"/>
      </w:pPr>
      <w:r>
        <w:t xml:space="preserve">6. Capital Deployment Wildcard: The easyJet Bid</w:t>
      </w:r>
    </w:p>
    <w:p>
      <w:pPr>
        <w:pStyle w:val="FirstParagraph"/>
      </w:pPr>
      <w:r>
        <w:t xml:space="preserve">A live, potentially material event overlaps directly with this earnings report: Apollo Global Management and easyJet announced an agreement in principle on a cash offer for the airline worth 715 pence per share, valuing easyJet around £5.7 billion, with Apollo required to announce a firm intention to make an offer or walk away by August 7 under UK takeover rules. That deadline falls just</w:t>
      </w:r>
      <w:r>
        <w:t xml:space="preserve"> </w:t>
      </w:r>
      <w:r>
        <w:rPr>
          <w:b/>
          <w:bCs/>
        </w:rPr>
        <w:t xml:space="preserve">three days after this earnings call</w:t>
      </w:r>
      <w:r>
        <w:t xml:space="preserve">, so expect analysts to press management for color on financing plans, use of balance sheet/fund capital, and how a ~$7.6-7.7B take-private (which beat out a rival Castlelake bid) fits Apollo's broader push into transportation/infrastructure-style equity deals. This is a useful real-time proof point for the "deploying dry powder amid dislocation" thesis Apollo has been selling investors, but it also raises questions about capital intensity and deal risk (easyJet's own H1 losses widened amid Middle East-related fuel-cost and capacity disruptions).</w:t>
      </w:r>
    </w:p>
    <w:bookmarkEnd w:id="14"/>
    <w:bookmarkStart w:id="15" w:name="X114ff2d6c557dacd7eec0da7ceee8807b192d72"/>
    <w:p>
      <w:pPr>
        <w:pStyle w:val="Heading2"/>
      </w:pPr>
      <w:r>
        <w:t xml:space="preserve">7. Capital Return and Valuation Backdrop</w:t>
      </w:r>
    </w:p>
    <w:p>
      <w:pPr>
        <w:pStyle w:val="Compact"/>
        <w:numPr>
          <w:ilvl w:val="0"/>
          <w:numId w:val="1002"/>
        </w:numPr>
      </w:pPr>
      <w:r>
        <w:t xml:space="preserve">Dividend was hiked to an annualized</w:t>
      </w:r>
      <w:r>
        <w:t xml:space="preserve"> </w:t>
      </w:r>
      <w:r>
        <w:rPr>
          <w:b/>
          <w:bCs/>
        </w:rPr>
        <w:t xml:space="preserve">$2.25/share</w:t>
      </w:r>
      <w:r>
        <w:t xml:space="preserve"> </w:t>
      </w:r>
      <w:r>
        <w:t xml:space="preserve">(10% YoY growth) in Q1, consistent with Apollo's policy of growing the payout at roughly half the pace of FRE growth.</w:t>
      </w:r>
    </w:p>
    <w:p>
      <w:pPr>
        <w:pStyle w:val="Compact"/>
        <w:numPr>
          <w:ilvl w:val="0"/>
          <w:numId w:val="1002"/>
        </w:numPr>
      </w:pPr>
      <w:r>
        <w:t xml:space="preserve">Apollo has historically leaned into buybacks during risk-off drawdowns (as it did around the April tariff-driven selloff), and investors will want an update on repurchase activity during the June private-credit selloff.</w:t>
      </w:r>
    </w:p>
    <w:p>
      <w:pPr>
        <w:pStyle w:val="Compact"/>
        <w:numPr>
          <w:ilvl w:val="0"/>
          <w:numId w:val="1002"/>
        </w:numPr>
      </w:pPr>
      <w:r>
        <w:t xml:space="preserve">On valuation, sell-side sentiment remains constructive even after a rough stretch: 21 analysts carry a "Moderate Buy" consensus (roughly 14 Strong Buy, 1 Moderate Buy, 6 Hold) with mean price targets in the **</w:t>
      </w:r>
      <m:oMath>
        <m:r>
          <m:t>150</m:t>
        </m:r>
        <m:r>
          <m:rPr>
            <m:sty m:val="p"/>
          </m:rPr>
          <m:t>−</m:t>
        </m:r>
        <m:r>
          <m:t>152</m:t>
        </m:r>
        <m:r>
          <m:rPr>
            <m:sty m:val="p"/>
          </m:rPr>
          <m:t>*</m:t>
        </m:r>
        <m:r>
          <m:rPr>
            <m:sty m:val="p"/>
          </m:rPr>
          <m:t>*</m:t>
        </m:r>
        <m:r>
          <m:t>a</m:t>
        </m:r>
        <m:r>
          <m:t>r</m:t>
        </m:r>
        <m:r>
          <m:t>e</m:t>
        </m:r>
        <m:r>
          <m:t>a</m:t>
        </m:r>
        <m:r>
          <m:rPr>
            <m:sty m:val="p"/>
          </m:rPr>
          <m:t>—</m:t>
        </m:r>
        <m:r>
          <m:t>i</m:t>
        </m:r>
        <m:r>
          <m:t>m</m:t>
        </m:r>
        <m:r>
          <m:t>p</m:t>
        </m:r>
        <m:r>
          <m:t>l</m:t>
        </m:r>
        <m:r>
          <m:t>y</m:t>
        </m:r>
        <m:r>
          <m:t>i</m:t>
        </m:r>
        <m:r>
          <m:t>n</m:t>
        </m:r>
        <m:r>
          <m:t>g</m:t>
        </m:r>
        <m:r>
          <m:t>m</m:t>
        </m:r>
        <m:r>
          <m:t>e</m:t>
        </m:r>
        <m:r>
          <m:t>a</m:t>
        </m:r>
        <m:r>
          <m:t>n</m:t>
        </m:r>
        <m:r>
          <m:t>i</m:t>
        </m:r>
        <m:r>
          <m:t>n</m:t>
        </m:r>
        <m:r>
          <m:t>g</m:t>
        </m:r>
        <m:r>
          <m:t>f</m:t>
        </m:r>
        <m:r>
          <m:t>u</m:t>
        </m:r>
        <m:r>
          <m:t>l</m:t>
        </m:r>
        <m:r>
          <m:t>u</m:t>
        </m:r>
        <m:r>
          <m:t>p</m:t>
        </m:r>
        <m:r>
          <m:t>s</m:t>
        </m:r>
        <m:r>
          <m:t>i</m:t>
        </m:r>
        <m:r>
          <m:t>d</m:t>
        </m:r>
        <m:r>
          <m:t>e</m:t>
        </m:r>
        <m:r>
          <m:t>f</m:t>
        </m:r>
        <m:r>
          <m:t>r</m:t>
        </m:r>
        <m:r>
          <m:t>o</m:t>
        </m:r>
        <m:r>
          <m:t>m</m:t>
        </m:r>
        <m:r>
          <m:t>t</m:t>
        </m:r>
        <m:r>
          <m:t>h</m:t>
        </m:r>
        <m:r>
          <m:t>e</m:t>
        </m:r>
        <m:r>
          <m:t>c</m:t>
        </m:r>
        <m:r>
          <m:t>u</m:t>
        </m:r>
        <m:r>
          <m:t>r</m:t>
        </m:r>
        <m:r>
          <m:t>r</m:t>
        </m:r>
        <m:r>
          <m:t>e</m:t>
        </m:r>
        <m:r>
          <m:t>n</m:t>
        </m:r>
        <m:r>
          <m:t>t</m:t>
        </m:r>
        <m:r>
          <m:t> </m:t>
        </m:r>
      </m:oMath>
      <w:r>
        <w:t xml:space="preserve">125-130 share price, though the stock has still trailed the S&amp;P 500 and the XLF over the past year.</w:t>
      </w:r>
    </w:p>
    <w:bookmarkEnd w:id="15"/>
    <w:bookmarkStart w:id="16" w:name="X16b8d825650a7fd022495cd2fe5021403c5043c"/>
    <w:p>
      <w:pPr>
        <w:pStyle w:val="Heading2"/>
      </w:pPr>
      <w:r>
        <w:t xml:space="preserve">8. Headline/Governance Risk (Non-Fundamental but Watch for Questions)</w:t>
      </w:r>
    </w:p>
    <w:p>
      <w:pPr>
        <w:pStyle w:val="FirstParagraph"/>
      </w:pPr>
      <w:r>
        <w:t xml:space="preserve">Beyond the operating business, Apollo has faced a steady drumbeat of reputational headlines in 2026: renewed scrutiny of Marc Rowan's historical contacts with Jeffrey Epstein following DOJ document releases, and a subsequent complaint from the American Federation of Teachers and AAUP to Apollo's audit committee alleging Rowan improperly used firm resources for political work tied to the Trump administration's university "Compact." Neither is likely to move Q2 numbers, but both are potential distractions in Q&amp;A and contribute to the "headline risk" discount some investors cite for the stock.</w:t>
      </w:r>
    </w:p>
    <w:bookmarkEnd w:id="16"/>
    <w:bookmarkStart w:id="17" w:name="X119e99e53a337249add66f415e27cda2a293a3d"/>
    <w:p>
      <w:pPr>
        <w:pStyle w:val="Heading2"/>
      </w:pPr>
      <w:r>
        <w:t xml:space="preserve">9. Key Questions Going Into the Print</w:t>
      </w:r>
    </w:p>
    <w:p>
      <w:pPr>
        <w:pStyle w:val="Compact"/>
        <w:numPr>
          <w:ilvl w:val="0"/>
          <w:numId w:val="1003"/>
        </w:numPr>
      </w:pPr>
      <w:r>
        <w:rPr>
          <w:b/>
          <w:bCs/>
        </w:rPr>
        <w:t xml:space="preserve">Guidance:</w:t>
      </w:r>
      <w:r>
        <w:t xml:space="preserve"> </w:t>
      </w:r>
      <w:r>
        <w:t xml:space="preserve">Is Apollo still comfortable with 20%+ FRE growth, 10% SRE growth, and 120-125bps net spread for full-year 2026?</w:t>
      </w:r>
    </w:p>
    <w:p>
      <w:pPr>
        <w:pStyle w:val="Compact"/>
        <w:numPr>
          <w:ilvl w:val="0"/>
          <w:numId w:val="1003"/>
        </w:numPr>
      </w:pPr>
      <w:r>
        <w:rPr>
          <w:b/>
          <w:bCs/>
        </w:rPr>
        <w:t xml:space="preserve">Origination:</w:t>
      </w:r>
      <w:r>
        <w:t xml:space="preserve"> </w:t>
      </w:r>
      <w:r>
        <w:t xml:space="preserve">Did Q2 origination approach the ~$97B record pace flagged by Rowan, and how much came from AI/data-center "picks and shovels" financing versus traditional credit?</w:t>
      </w:r>
    </w:p>
    <w:p>
      <w:pPr>
        <w:pStyle w:val="Compact"/>
        <w:numPr>
          <w:ilvl w:val="0"/>
          <w:numId w:val="1003"/>
        </w:numPr>
      </w:pPr>
      <w:r>
        <w:rPr>
          <w:b/>
          <w:bCs/>
        </w:rPr>
        <w:t xml:space="preserve">ADS/BDC flows:</w:t>
      </w:r>
      <w:r>
        <w:t xml:space="preserve"> </w:t>
      </w:r>
      <w:r>
        <w:t xml:space="preserve">Are redemption requests stabilizing, worsening, or improving into Q3, and is the Global Wealth channel offsetting the drag elsewhere?</w:t>
      </w:r>
    </w:p>
    <w:p>
      <w:pPr>
        <w:pStyle w:val="Compact"/>
        <w:numPr>
          <w:ilvl w:val="0"/>
          <w:numId w:val="1003"/>
        </w:numPr>
      </w:pPr>
      <w:r>
        <w:rPr>
          <w:b/>
          <w:bCs/>
        </w:rPr>
        <w:t xml:space="preserve">Athene spread and competition:</w:t>
      </w:r>
      <w:r>
        <w:t xml:space="preserve"> </w:t>
      </w:r>
      <w:r>
        <w:t xml:space="preserve">Did retail annuity pricing discipline hold, and is the $40B cash cushion being deployed?</w:t>
      </w:r>
    </w:p>
    <w:p>
      <w:pPr>
        <w:pStyle w:val="Compact"/>
        <w:numPr>
          <w:ilvl w:val="0"/>
          <w:numId w:val="1003"/>
        </w:numPr>
      </w:pPr>
      <w:r>
        <w:rPr>
          <w:b/>
          <w:bCs/>
        </w:rPr>
        <w:t xml:space="preserve">easyJet:</w:t>
      </w:r>
      <w:r>
        <w:t xml:space="preserve"> </w:t>
      </w:r>
      <w:r>
        <w:t xml:space="preserve">Any color on financing structure and capital intensity ahead of the August 7 UK deadline?</w:t>
      </w:r>
    </w:p>
    <w:p>
      <w:pPr>
        <w:pStyle w:val="Compact"/>
        <w:numPr>
          <w:ilvl w:val="0"/>
          <w:numId w:val="1003"/>
        </w:numPr>
      </w:pPr>
      <w:r>
        <w:rPr>
          <w:b/>
          <w:bCs/>
        </w:rPr>
        <w:t xml:space="preserve">Capital formation/AUM:</w:t>
      </w:r>
      <w:r>
        <w:t xml:space="preserve"> </w:t>
      </w:r>
      <w:r>
        <w:t xml:space="preserve">Follow-through on the $1 trillion AUM milestone and fee-generating AUM growth.</w:t>
      </w:r>
    </w:p>
    <w:p>
      <w:r>
        <w:pict>
          <v:rect style="width:0;height:1.5pt" o:hralign="center" o:hrstd="t" o:hr="t"/>
        </w:pict>
      </w:r>
    </w:p>
    <w:p>
      <w:pPr>
        <w:pStyle w:val="FirstParagraph"/>
      </w:pPr>
      <w:r>
        <w:rPr>
          <w:i/>
          <w:iCs/>
        </w:rPr>
        <w:t xml:space="preserve">This preview is based on Apollo's Q1 2026 earnings call transcript, the July 1, 2026 preliminary Q2 alternative investment income disclosure, recent daily news digests, and third-party analyst commentary. It is not investment advice.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2026-08-04T00:50:11Z</dcterms:created>
  <dcterms:modified xsi:type="dcterms:W3CDTF">2026-08-04T00:50:11Z</dcterms:modified>
</cp:coreProperties>
</file>

<file path=docProps/custom.xml><?xml version="1.0" encoding="utf-8"?>
<Properties xmlns="http://schemas.openxmlformats.org/officeDocument/2006/custom-properties" xmlns:vt="http://schemas.openxmlformats.org/officeDocument/2006/docPropsVTypes"/>
</file>