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o-earnings-predictions--2026-08-04"/>
    <w:p>
      <w:pPr>
        <w:pStyle w:val="Heading1"/>
      </w:pPr>
      <w:r>
        <w:t xml:space="preserve">APO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~$2.20 vs. cons $2.15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capital formation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~$53.0B vs. cons $50.4B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Origination volume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~$95B vs. cons $90B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Fee Related Earnings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~20%+ vs. cons 20%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Spread Related Earnings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~10% vs. cons 10%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Origination volume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~$350B midpoint vs. cons $350B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Athene normalized net spread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~122.5 bps midpoint vs. cons 122.5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+1.4% (FADE)</w:t>
            </w:r>
          </w:p>
        </w:tc>
        <w:tc>
          <w:tcPr/>
          <w:p>
            <w:pPr>
              <w:pStyle w:val="Compact"/>
            </w:pPr>
            <w:r>
              <w:t xml:space="preserve">Initial upside from pred ~$2.20 vs. cons</w:t>
            </w:r>
            <w:r>
              <w:t xml:space="preserve"> </w:t>
            </w:r>
            <m:oMath>
              <m:r>
                <m:t>2.15</m:t>
              </m:r>
              <m:r>
                <m:t>E</m:t>
              </m:r>
              <m:r>
                <m:t>P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95B vs. $90B origination should fade as the unchanged ~10% vs. 10% FY2026 SRE outlook still requires an ~11% second-half alternatives return after ~9% in Q2, limiting out-period estimate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2026-08-04T00:40:41Z</dcterms:created>
  <dcterms:modified xsi:type="dcterms:W3CDTF">2026-08-04T00:40:41Z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