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485821367da4fc01133c7913c98d4187f649186"/>
    <w:p>
      <w:pPr>
        <w:pStyle w:val="Heading1"/>
      </w:pPr>
      <w:r>
        <w:t xml:space="preserve">Apollo Global Management (APO) — 2026 Q2 Earnings Preview</w:t>
      </w:r>
    </w:p>
    <w:p>
      <w:pPr>
        <w:pStyle w:val="BlockText"/>
      </w:pPr>
      <w:r>
        <w:rPr>
          <w:b/>
          <w:bCs/>
        </w:rPr>
        <w:t xml:space="preserve">Timing note:</w:t>
      </w:r>
      <w:r>
        <w:t xml:space="preserve"> </w:t>
      </w:r>
      <w:r>
        <w:t xml:space="preserve">August 4, 2026 is today, not tomorrow. Apollo’s official schedule calls for results</w:t>
      </w:r>
      <w:r>
        <w:t xml:space="preserve"> </w:t>
      </w:r>
      <w:r>
        <w:rPr>
          <w:b/>
          <w:bCs/>
        </w:rPr>
        <w:t xml:space="preserve">before the NYSE open on Tuesday, August 4</w:t>
      </w:r>
      <w:r>
        <w:t xml:space="preserve">, followed by the earnings call at</w:t>
      </w:r>
      <w:r>
        <w:t xml:space="preserve"> </w:t>
      </w:r>
      <w:r>
        <w:rPr>
          <w:b/>
          <w:bCs/>
        </w:rPr>
        <w:t xml:space="preserve">8:30 a.m. ET</w:t>
      </w:r>
      <w:r>
        <w:t xml:space="preserve">. This preview uses information available before the release.</w:t>
      </w:r>
    </w:p>
    <w:bookmarkStart w:id="9" w:name="executive-view"/>
    <w:p>
      <w:pPr>
        <w:pStyle w:val="Heading2"/>
      </w:pPr>
      <w:r>
        <w:t xml:space="preserve">Executive view</w:t>
      </w:r>
    </w:p>
    <w:p>
      <w:pPr>
        <w:pStyle w:val="FirstParagraph"/>
      </w:pPr>
      <w:r>
        <w:t xml:space="preserve">The most volatile part of Apollo’s quarter has already been partially de-risked. On July 1, the company preannounced approximately</w:t>
      </w:r>
      <w:r>
        <w:t xml:space="preserve"> </w:t>
      </w:r>
      <w:r>
        <w:rPr>
          <w:b/>
          <w:bCs/>
        </w:rPr>
        <w:t xml:space="preserve">$350 million of Q2 alternative net investment income</w:t>
      </w:r>
      <w:r>
        <w:t xml:space="preserve">, equivalent to a</w:t>
      </w:r>
      <w:r>
        <w:t xml:space="preserve"> </w:t>
      </w:r>
      <w:r>
        <w:rPr>
          <w:b/>
          <w:bCs/>
        </w:rPr>
        <w:t xml:space="preserve">9% annualized return</w:t>
      </w:r>
      <w:r>
        <w:t xml:space="preserve">. That is a meaningful recovery from Q1’s 6% return, although it remains below the</w:t>
      </w:r>
      <w:r>
        <w:t xml:space="preserve"> </w:t>
      </w:r>
      <w:r>
        <w:rPr>
          <w:b/>
          <w:bCs/>
        </w:rPr>
        <w:t xml:space="preserve">11% assumption embedded in Apollo’s full-year Spread Related Earnings guidance</w:t>
      </w:r>
      <w:r>
        <w:t xml:space="preserve">.</w:t>
      </w:r>
    </w:p>
    <w:p>
      <w:pPr>
        <w:pStyle w:val="BodyText"/>
      </w:pPr>
      <w:r>
        <w:t xml:space="preserve">Consequently, the report should be less about whether Athene’s alternatives portfolio produced a surprise and more about four operating questions:</w:t>
      </w:r>
    </w:p>
    <w:p>
      <w:pPr>
        <w:pStyle w:val="Compact"/>
        <w:numPr>
          <w:ilvl w:val="0"/>
          <w:numId w:val="1001"/>
        </w:numPr>
      </w:pPr>
      <w:r>
        <w:rPr>
          <w:b/>
          <w:bCs/>
        </w:rPr>
        <w:t xml:space="preserve">Did Apollo convert its unusually strong origination pipeline into another quarter of elevated Capital Solutions fees?</w:t>
      </w:r>
    </w:p>
    <w:p>
      <w:pPr>
        <w:pStyle w:val="Compact"/>
        <w:numPr>
          <w:ilvl w:val="0"/>
          <w:numId w:val="1001"/>
        </w:numPr>
      </w:pPr>
      <w:r>
        <w:rPr>
          <w:b/>
          <w:bCs/>
        </w:rPr>
        <w:t xml:space="preserve">Were organic inflows strong enough to validate the long-term fundraising story despite weakness in perpetual private-credit products?</w:t>
      </w:r>
    </w:p>
    <w:p>
      <w:pPr>
        <w:pStyle w:val="Compact"/>
        <w:numPr>
          <w:ilvl w:val="0"/>
          <w:numId w:val="1001"/>
        </w:numPr>
      </w:pPr>
      <w:r>
        <w:rPr>
          <w:b/>
          <w:bCs/>
        </w:rPr>
        <w:t xml:space="preserve">Is Athene’s net spread moving back toward management’s 120–125 basis-point objective?</w:t>
      </w:r>
    </w:p>
    <w:p>
      <w:pPr>
        <w:pStyle w:val="Compact"/>
        <w:numPr>
          <w:ilvl w:val="0"/>
          <w:numId w:val="1001"/>
        </w:numPr>
      </w:pPr>
      <w:r>
        <w:rPr>
          <w:b/>
          <w:bCs/>
        </w:rPr>
        <w:t xml:space="preserve">Can management reaffirm 20%+ FRE growth and 10% SRE growth for 2026 despite a more difficult rate, credit and wealth-fund backdrop?</w:t>
      </w:r>
    </w:p>
    <w:p>
      <w:pPr>
        <w:pStyle w:val="FirstParagraph"/>
      </w:pPr>
      <w:r>
        <w:t xml:space="preserve">The available market-news digest puts consensus at approximately</w:t>
      </w:r>
      <w:r>
        <w:t xml:space="preserve"> </w:t>
      </w:r>
      <m:oMath>
        <m:r>
          <m:t>2.15</m:t>
        </m:r>
        <m:r>
          <m:t>o</m:t>
        </m:r>
        <m:r>
          <m:t>f</m:t>
        </m:r>
        <m:r>
          <m:t>a</m:t>
        </m:r>
        <m:r>
          <m:t>d</m:t>
        </m:r>
        <m:r>
          <m:t>j</m:t>
        </m:r>
        <m:r>
          <m:t>u</m:t>
        </m:r>
        <m:r>
          <m:t>s</m:t>
        </m:r>
        <m:r>
          <m:t>t</m:t>
        </m:r>
        <m:r>
          <m:t>e</m:t>
        </m:r>
        <m:r>
          <m:t>d</m:t>
        </m:r>
        <m:r>
          <m:t>E</m:t>
        </m:r>
        <m:r>
          <m:t>P</m:t>
        </m:r>
        <m:r>
          <m:t>S</m:t>
        </m:r>
        <m:r>
          <m:rPr>
            <m:sty m:val="p"/>
          </m:rPr>
          <m:t>*</m:t>
        </m:r>
        <m:r>
          <m:rPr>
            <m:sty m:val="p"/>
          </m:rPr>
          <m:t>*</m:t>
        </m:r>
        <m:r>
          <m:t>a</m:t>
        </m:r>
        <m:r>
          <m:t>n</m:t>
        </m:r>
        <m:r>
          <m:t>d</m:t>
        </m:r>
        <m:r>
          <m:rPr>
            <m:sty m:val="p"/>
          </m:rPr>
          <m:t>*</m:t>
        </m:r>
        <m:r>
          <m:rPr>
            <m:sty m:val="p"/>
          </m:rPr>
          <m:t>*</m:t>
        </m:r>
      </m:oMath>
      <w:r>
        <w:rPr>
          <w:b/>
          <w:bCs/>
        </w:rPr>
        <w:t xml:space="preserve">50.4 billion of inflows</w:t>
      </w:r>
      <w:r>
        <w:t xml:space="preserve">. Those are useful reference points, but the quality and composition of earnings will matter more than the headline EPS number.</w:t>
      </w:r>
    </w:p>
    <w:p>
      <w:r>
        <w:pict>
          <v:rect style="width:0;height:1.5pt" o:hralign="center" o:hrstd="t" o:hr="t"/>
        </w:pict>
      </w:r>
    </w:p>
    <w:bookmarkEnd w:id="9"/>
    <w:bookmarkStart w:id="10" w:name="the-setup"/>
    <w:p>
      <w:pPr>
        <w:pStyle w:val="Heading2"/>
      </w:pPr>
      <w:r>
        <w:t xml:space="preserve">The setup</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2026 Q1 result</w:t>
            </w:r>
          </w:p>
        </w:tc>
        <w:tc>
          <w:tcPr/>
          <w:p>
            <w:pPr>
              <w:pStyle w:val="Compact"/>
            </w:pPr>
            <w:r>
              <w:t xml:space="preserve">What matters in Q2</w:t>
            </w:r>
          </w:p>
        </w:tc>
      </w:tr>
      <w:tr>
        <w:tc>
          <w:tcPr/>
          <w:p>
            <w:pPr>
              <w:pStyle w:val="Compact"/>
            </w:pPr>
            <w:r>
              <w:t xml:space="preserve">Adjusted net income</w:t>
            </w:r>
          </w:p>
        </w:tc>
        <w:tc>
          <w:tcPr/>
          <w:p>
            <w:pPr>
              <w:pStyle w:val="Compact"/>
              <w:jc w:val="right"/>
            </w:pPr>
            <m:oMath>
              <m:r>
                <m:t>1.21</m:t>
              </m:r>
              <m:r>
                <m:t>B</m:t>
              </m:r>
              <m:r>
                <m:rPr>
                  <m:sty m:val="p"/>
                </m:rPr>
                <m:t>/</m:t>
              </m:r>
              <m:r>
                <m:rPr>
                  <m:sty m:val="p"/>
                </m:rPr>
                <m:t>*</m:t>
              </m:r>
              <m:r>
                <m:rPr>
                  <m:sty m:val="p"/>
                </m:rPr>
                <m:t>*</m:t>
              </m:r>
            </m:oMath>
            <w:r>
              <w:t xml:space="preserve">1.94 per share**</w:t>
            </w:r>
          </w:p>
        </w:tc>
        <w:tc>
          <w:tcPr/>
          <w:p>
            <w:pPr>
              <w:pStyle w:val="Compact"/>
            </w:pPr>
            <w:r>
              <w:t xml:space="preserve">Available consensus:</w:t>
            </w:r>
            <w:r>
              <w:t xml:space="preserve"> </w:t>
            </w:r>
            <w:r>
              <w:rPr>
                <w:b/>
                <w:bCs/>
              </w:rPr>
              <w:t xml:space="preserve">$2.15 per share</w:t>
            </w:r>
          </w:p>
        </w:tc>
      </w:tr>
      <w:tr>
        <w:tc>
          <w:tcPr/>
          <w:p>
            <w:pPr>
              <w:pStyle w:val="Compact"/>
            </w:pPr>
            <w:r>
              <w:t xml:space="preserve">Fee Related Earnings</w:t>
            </w:r>
          </w:p>
        </w:tc>
        <w:tc>
          <w:tcPr/>
          <w:p>
            <w:pPr>
              <w:pStyle w:val="Compact"/>
              <w:jc w:val="right"/>
            </w:pPr>
            <w:r>
              <w:rPr>
                <w:b/>
                <w:bCs/>
              </w:rPr>
              <w:t xml:space="preserve">$728M</w:t>
            </w:r>
            <w:r>
              <w:t xml:space="preserve">, +30% YoY</w:t>
            </w:r>
          </w:p>
        </w:tc>
        <w:tc>
          <w:tcPr/>
          <w:p>
            <w:pPr>
              <w:pStyle w:val="Compact"/>
            </w:pPr>
            <w:r>
              <w:t xml:space="preserve">Progress against</w:t>
            </w:r>
            <w:r>
              <w:t xml:space="preserve"> </w:t>
            </w:r>
            <w:r>
              <w:rPr>
                <w:b/>
                <w:bCs/>
              </w:rPr>
              <w:t xml:space="preserve">20%+ FY growth</w:t>
            </w:r>
          </w:p>
        </w:tc>
      </w:tr>
      <w:tr>
        <w:tc>
          <w:tcPr/>
          <w:p>
            <w:pPr>
              <w:pStyle w:val="Compact"/>
            </w:pPr>
            <w:r>
              <w:t xml:space="preserve">FRE per share</w:t>
            </w:r>
          </w:p>
        </w:tc>
        <w:tc>
          <w:tcPr/>
          <w:p>
            <w:pPr>
              <w:pStyle w:val="Compact"/>
              <w:jc w:val="right"/>
            </w:pPr>
            <w:r>
              <w:rPr>
                <w:b/>
                <w:bCs/>
              </w:rPr>
              <w:t xml:space="preserve">$1.17</w:t>
            </w:r>
          </w:p>
        </w:tc>
        <w:tc>
          <w:tcPr/>
          <w:p>
            <w:pPr>
              <w:pStyle w:val="Compact"/>
            </w:pPr>
            <w:r>
              <w:t xml:space="preserve">Management fees, ACS fees and margin</w:t>
            </w:r>
          </w:p>
        </w:tc>
      </w:tr>
      <w:tr>
        <w:tc>
          <w:tcPr/>
          <w:p>
            <w:pPr>
              <w:pStyle w:val="Compact"/>
            </w:pPr>
            <w:r>
              <w:t xml:space="preserve">Spread Related Earnings</w:t>
            </w:r>
          </w:p>
        </w:tc>
        <w:tc>
          <w:tcPr/>
          <w:p>
            <w:pPr>
              <w:pStyle w:val="Compact"/>
              <w:jc w:val="right"/>
            </w:pPr>
            <w:r>
              <w:rPr>
                <w:b/>
                <w:bCs/>
              </w:rPr>
              <w:t xml:space="preserve">$719M</w:t>
            </w:r>
          </w:p>
        </w:tc>
        <w:tc>
          <w:tcPr/>
          <w:p>
            <w:pPr>
              <w:pStyle w:val="Compact"/>
            </w:pPr>
            <w:r>
              <w:t xml:space="preserve">Recovery in alternative income and net spread</w:t>
            </w:r>
          </w:p>
        </w:tc>
      </w:tr>
      <w:tr>
        <w:tc>
          <w:tcPr/>
          <w:p>
            <w:pPr>
              <w:pStyle w:val="Compact"/>
            </w:pPr>
            <w:r>
              <w:t xml:space="preserve">SRE per share</w:t>
            </w:r>
          </w:p>
        </w:tc>
        <w:tc>
          <w:tcPr/>
          <w:p>
            <w:pPr>
              <w:pStyle w:val="Compact"/>
              <w:jc w:val="right"/>
            </w:pPr>
            <w:r>
              <w:rPr>
                <w:b/>
                <w:bCs/>
              </w:rPr>
              <w:t xml:space="preserve">$1.15</w:t>
            </w:r>
          </w:p>
        </w:tc>
        <w:tc>
          <w:tcPr/>
          <w:p>
            <w:pPr>
              <w:pStyle w:val="Compact"/>
            </w:pPr>
            <w:r>
              <w:t xml:space="preserve">Athene asset growth versus funding costs</w:t>
            </w:r>
          </w:p>
        </w:tc>
      </w:tr>
      <w:tr>
        <w:tc>
          <w:tcPr/>
          <w:p>
            <w:pPr>
              <w:pStyle w:val="Compact"/>
            </w:pPr>
            <w:r>
              <w:t xml:space="preserve">Total AUM</w:t>
            </w:r>
          </w:p>
        </w:tc>
        <w:tc>
          <w:tcPr/>
          <w:p>
            <w:pPr>
              <w:pStyle w:val="Compact"/>
              <w:jc w:val="right"/>
            </w:pPr>
            <w:r>
              <w:rPr>
                <w:b/>
                <w:bCs/>
              </w:rPr>
              <w:t xml:space="preserve">$1.03T</w:t>
            </w:r>
          </w:p>
        </w:tc>
        <w:tc>
          <w:tcPr/>
          <w:p>
            <w:pPr>
              <w:pStyle w:val="Compact"/>
            </w:pPr>
            <w:r>
              <w:t xml:space="preserve">Organic flows versus acquisition-related growth</w:t>
            </w:r>
          </w:p>
        </w:tc>
      </w:tr>
      <w:tr>
        <w:tc>
          <w:tcPr/>
          <w:p>
            <w:pPr>
              <w:pStyle w:val="Compact"/>
            </w:pPr>
            <w:r>
              <w:t xml:space="preserve">Fee-generating AUM</w:t>
            </w:r>
          </w:p>
        </w:tc>
        <w:tc>
          <w:tcPr/>
          <w:p>
            <w:pPr>
              <w:pStyle w:val="Compact"/>
              <w:jc w:val="right"/>
            </w:pPr>
            <w:r>
              <w:rPr>
                <w:b/>
                <w:bCs/>
              </w:rPr>
              <w:t xml:space="preserve">$835.9B</w:t>
            </w:r>
          </w:p>
        </w:tc>
        <w:tc>
          <w:tcPr/>
          <w:p>
            <w:pPr>
              <w:pStyle w:val="Compact"/>
            </w:pPr>
            <w:r>
              <w:t xml:space="preserve">Conversion of new AUM into fee revenue</w:t>
            </w:r>
          </w:p>
        </w:tc>
      </w:tr>
      <w:tr>
        <w:tc>
          <w:tcPr/>
          <w:p>
            <w:pPr>
              <w:pStyle w:val="Compact"/>
            </w:pPr>
            <w:r>
              <w:t xml:space="preserve">Q1 origination</w:t>
            </w:r>
          </w:p>
        </w:tc>
        <w:tc>
          <w:tcPr/>
          <w:p>
            <w:pPr>
              <w:pStyle w:val="Compact"/>
              <w:jc w:val="right"/>
            </w:pPr>
            <w:r>
              <w:rPr>
                <w:b/>
                <w:bCs/>
              </w:rPr>
              <w:t xml:space="preserve">$71B</w:t>
            </w:r>
          </w:p>
        </w:tc>
        <w:tc>
          <w:tcPr/>
          <w:p>
            <w:pPr>
              <w:pStyle w:val="Compact"/>
            </w:pPr>
            <w:r>
              <w:t xml:space="preserve">Management expected an even stronger Q2</w:t>
            </w:r>
          </w:p>
        </w:tc>
      </w:tr>
      <w:tr>
        <w:tc>
          <w:tcPr/>
          <w:p>
            <w:pPr>
              <w:pStyle w:val="Compact"/>
            </w:pPr>
            <w:r>
              <w:t xml:space="preserve">Q1 capital formation</w:t>
            </w:r>
          </w:p>
        </w:tc>
        <w:tc>
          <w:tcPr/>
          <w:p>
            <w:pPr>
              <w:pStyle w:val="Compact"/>
              <w:jc w:val="right"/>
            </w:pPr>
            <w:r>
              <w:rPr>
                <w:b/>
                <w:bCs/>
              </w:rPr>
              <w:t xml:space="preserve">$115B total; $50B organic</w:t>
            </w:r>
          </w:p>
        </w:tc>
        <w:tc>
          <w:tcPr/>
          <w:p>
            <w:pPr>
              <w:pStyle w:val="Compact"/>
            </w:pPr>
            <w:r>
              <w:t xml:space="preserve">Available consensus: approximately</w:t>
            </w:r>
            <w:r>
              <w:t xml:space="preserve"> </w:t>
            </w:r>
            <w:r>
              <w:rPr>
                <w:b/>
                <w:bCs/>
              </w:rPr>
              <w:t xml:space="preserve">$50.4B</w:t>
            </w:r>
          </w:p>
        </w:tc>
      </w:tr>
      <w:tr>
        <w:tc>
          <w:tcPr/>
          <w:p>
            <w:pPr>
              <w:pStyle w:val="Compact"/>
            </w:pPr>
            <w:r>
              <w:t xml:space="preserve">Capital Solutions fees</w:t>
            </w:r>
          </w:p>
        </w:tc>
        <w:tc>
          <w:tcPr/>
          <w:p>
            <w:pPr>
              <w:pStyle w:val="Compact"/>
              <w:jc w:val="right"/>
            </w:pPr>
            <w:r>
              <w:rPr>
                <w:b/>
                <w:bCs/>
              </w:rPr>
              <w:t xml:space="preserve">$246M</w:t>
            </w:r>
          </w:p>
        </w:tc>
        <w:tc>
          <w:tcPr/>
          <w:p>
            <w:pPr>
              <w:pStyle w:val="Compact"/>
            </w:pPr>
            <w:r>
              <w:t xml:space="preserve">Durability of the $200M+ quarterly run rate</w:t>
            </w:r>
          </w:p>
        </w:tc>
      </w:tr>
      <w:tr>
        <w:tc>
          <w:tcPr/>
          <w:p>
            <w:pPr>
              <w:pStyle w:val="Compact"/>
            </w:pPr>
            <w:r>
              <w:t xml:space="preserve">FRE margin</w:t>
            </w:r>
          </w:p>
        </w:tc>
        <w:tc>
          <w:tcPr/>
          <w:p>
            <w:pPr>
              <w:pStyle w:val="Compact"/>
              <w:jc w:val="right"/>
            </w:pPr>
            <w:r>
              <w:rPr>
                <w:b/>
                <w:bCs/>
              </w:rPr>
              <w:t xml:space="preserve">58%</w:t>
            </w:r>
          </w:p>
        </w:tc>
        <w:tc>
          <w:tcPr/>
          <w:p>
            <w:pPr>
              <w:pStyle w:val="Compact"/>
            </w:pPr>
            <w:r>
              <w:t xml:space="preserve">Operating leverage and Bridge-related expenses</w:t>
            </w:r>
          </w:p>
        </w:tc>
      </w:tr>
    </w:tbl>
    <w:p>
      <w:r>
        <w:pict>
          <v:rect style="width:0;height:1.5pt" o:hralign="center" o:hrstd="t" o:hr="t"/>
        </w:pict>
      </w:r>
    </w:p>
    <w:bookmarkEnd w:id="10"/>
    <w:bookmarkStart w:id="13" w:name="X7e707bd6de0ffb42d531d968ea6816b9abe7329"/>
    <w:p>
      <w:pPr>
        <w:pStyle w:val="Heading2"/>
      </w:pPr>
      <w:r>
        <w:t xml:space="preserve">1. Origination is probably the most important operating number</w:t>
      </w:r>
    </w:p>
    <w:p>
      <w:pPr>
        <w:pStyle w:val="FirstParagraph"/>
      </w:pPr>
      <w:r>
        <w:t xml:space="preserve">Apollo originated</w:t>
      </w:r>
      <w:r>
        <w:t xml:space="preserve"> </w:t>
      </w:r>
      <m:oMath>
        <m:r>
          <m:t>71</m:t>
        </m:r>
        <m:r>
          <m:t>b</m:t>
        </m:r>
        <m:r>
          <m:t>i</m:t>
        </m:r>
        <m:r>
          <m:t>l</m:t>
        </m:r>
        <m:r>
          <m:t>l</m:t>
        </m:r>
        <m:r>
          <m:t>i</m:t>
        </m:r>
        <m:r>
          <m:t>o</m:t>
        </m:r>
        <m:r>
          <m:t>n</m:t>
        </m:r>
        <m:r>
          <m:rPr>
            <m:sty m:val="p"/>
          </m:rPr>
          <m:t>*</m:t>
        </m:r>
        <m:r>
          <m:rPr>
            <m:sty m:val="p"/>
          </m:rPr>
          <m:t>*</m:t>
        </m:r>
        <m:r>
          <m:t>i</m:t>
        </m:r>
        <m:r>
          <m:t>n</m:t>
        </m:r>
        <m:r>
          <m:t>Q</m:t>
        </m:r>
        <m:r>
          <m:t>1</m:t>
        </m:r>
        <m:r>
          <m:rPr>
            <m:sty m:val="p"/>
          </m:rPr>
          <m:t>,</m:t>
        </m:r>
        <m:r>
          <m:t>u</m:t>
        </m:r>
        <m:r>
          <m:t>p</m:t>
        </m:r>
        <m:r>
          <m:t>25</m:t>
        </m:r>
      </m:oMath>
      <w:r>
        <w:rPr>
          <w:b/>
          <w:bCs/>
        </w:rPr>
        <w:t xml:space="preserve">97 billion</w:t>
      </w:r>
      <w:r>
        <w:t xml:space="preserve">.</w:t>
      </w:r>
    </w:p>
    <w:p>
      <w:pPr>
        <w:pStyle w:val="BodyText"/>
      </w:pPr>
      <w:r>
        <w:t xml:space="preserve">That establishes a relatively high expectation, but origination is central to the Apollo model for several reasons:</w:t>
      </w:r>
    </w:p>
    <w:p>
      <w:pPr>
        <w:pStyle w:val="Compact"/>
        <w:numPr>
          <w:ilvl w:val="0"/>
          <w:numId w:val="1002"/>
        </w:numPr>
      </w:pPr>
      <w:r>
        <w:t xml:space="preserve">It creates assets for Athene and third-party funds.</w:t>
      </w:r>
    </w:p>
    <w:p>
      <w:pPr>
        <w:pStyle w:val="Compact"/>
        <w:numPr>
          <w:ilvl w:val="0"/>
          <w:numId w:val="1002"/>
        </w:numPr>
      </w:pPr>
      <w:r>
        <w:t xml:space="preserve">It supports Capital Solutions fees.</w:t>
      </w:r>
    </w:p>
    <w:p>
      <w:pPr>
        <w:pStyle w:val="Compact"/>
        <w:numPr>
          <w:ilvl w:val="0"/>
          <w:numId w:val="1002"/>
        </w:numPr>
      </w:pPr>
      <w:r>
        <w:t xml:space="preserve">It helps Apollo retain excess spread even when publicly traded credit spreads are tight.</w:t>
      </w:r>
    </w:p>
    <w:p>
      <w:pPr>
        <w:pStyle w:val="Compact"/>
        <w:numPr>
          <w:ilvl w:val="0"/>
          <w:numId w:val="1002"/>
        </w:numPr>
      </w:pPr>
      <w:r>
        <w:t xml:space="preserve">It drives future management fees as syndicated investors become longer-term clients.</w:t>
      </w:r>
    </w:p>
    <w:p>
      <w:pPr>
        <w:pStyle w:val="Compact"/>
        <w:numPr>
          <w:ilvl w:val="0"/>
          <w:numId w:val="1002"/>
        </w:numPr>
      </w:pPr>
      <w:r>
        <w:t xml:space="preserve">It differentiates Apollo from managers that are primarily purchasers rather than originators of credit.</w:t>
      </w:r>
    </w:p>
    <w:p>
      <w:pPr>
        <w:pStyle w:val="FirstParagraph"/>
      </w:pPr>
      <w:r>
        <w:t xml:space="preserve">At a June investor conference, management indicated that full-year origination could fall in a broad</w:t>
      </w:r>
      <w:r>
        <w:t xml:space="preserve"> </w:t>
      </w:r>
      <m:oMath>
        <m:r>
          <m:t>300</m:t>
        </m:r>
        <m:r>
          <m:rPr>
            <m:sty m:val="p"/>
          </m:rPr>
          <m:t>–</m:t>
        </m:r>
      </m:oMath>
      <w:r>
        <w:rPr>
          <w:b/>
          <w:bCs/>
        </w:rPr>
        <w:t xml:space="preserve">400 billion</w:t>
      </w:r>
      <w:r>
        <w:t xml:space="preserve"> </w:t>
      </w:r>
      <w:r>
        <w:t xml:space="preserve">range. AI infrastructure, power, advanced manufacturing, defense and European infrastructure were highlighted as major sources of demand.</w:t>
      </w:r>
    </w:p>
    <w:bookmarkStart w:id="11" w:name="what-would-be-positive"/>
    <w:p>
      <w:pPr>
        <w:pStyle w:val="Heading3"/>
      </w:pPr>
      <w:r>
        <w:t xml:space="preserve">What would be positive</w:t>
      </w:r>
    </w:p>
    <w:p>
      <w:pPr>
        <w:pStyle w:val="Compact"/>
        <w:numPr>
          <w:ilvl w:val="0"/>
          <w:numId w:val="1003"/>
        </w:numPr>
      </w:pPr>
      <w:r>
        <w:t xml:space="preserve">Origination near or above</w:t>
      </w:r>
      <w:r>
        <w:t xml:space="preserve"> </w:t>
      </w:r>
      <w:r>
        <w:rPr>
          <w:b/>
          <w:bCs/>
        </w:rPr>
        <w:t xml:space="preserve">$90 billion</w:t>
      </w:r>
      <w:r>
        <w:t xml:space="preserve">.</w:t>
      </w:r>
    </w:p>
    <w:p>
      <w:pPr>
        <w:pStyle w:val="Compact"/>
        <w:numPr>
          <w:ilvl w:val="0"/>
          <w:numId w:val="1003"/>
        </w:numPr>
      </w:pPr>
      <w:r>
        <w:t xml:space="preserve">Continued predominance of investment-grade assets.</w:t>
      </w:r>
    </w:p>
    <w:p>
      <w:pPr>
        <w:pStyle w:val="Compact"/>
        <w:numPr>
          <w:ilvl w:val="0"/>
          <w:numId w:val="1003"/>
        </w:numPr>
      </w:pPr>
      <w:r>
        <w:t xml:space="preserve">Stable excess spread despite competition.</w:t>
      </w:r>
    </w:p>
    <w:p>
      <w:pPr>
        <w:pStyle w:val="Compact"/>
        <w:numPr>
          <w:ilvl w:val="0"/>
          <w:numId w:val="1003"/>
        </w:numPr>
      </w:pPr>
      <w:r>
        <w:t xml:space="preserve">Strong third-party syndication rather than Athene retaining an outsized share.</w:t>
      </w:r>
    </w:p>
    <w:p>
      <w:pPr>
        <w:pStyle w:val="Compact"/>
        <w:numPr>
          <w:ilvl w:val="0"/>
          <w:numId w:val="1003"/>
        </w:numPr>
      </w:pPr>
      <w:r>
        <w:t xml:space="preserve">A pipeline that remains strong into the second half.</w:t>
      </w:r>
    </w:p>
    <w:bookmarkEnd w:id="11"/>
    <w:bookmarkStart w:id="12" w:name="what-could-disappoint"/>
    <w:p>
      <w:pPr>
        <w:pStyle w:val="Heading3"/>
      </w:pPr>
      <w:r>
        <w:t xml:space="preserve">What could disappoint</w:t>
      </w:r>
    </w:p>
    <w:p>
      <w:pPr>
        <w:pStyle w:val="Compact"/>
        <w:numPr>
          <w:ilvl w:val="0"/>
          <w:numId w:val="1004"/>
        </w:numPr>
      </w:pPr>
      <w:r>
        <w:t xml:space="preserve">Strong headline origination but weak fee realization.</w:t>
      </w:r>
    </w:p>
    <w:p>
      <w:pPr>
        <w:pStyle w:val="Compact"/>
        <w:numPr>
          <w:ilvl w:val="0"/>
          <w:numId w:val="1004"/>
        </w:numPr>
      </w:pPr>
      <w:r>
        <w:t xml:space="preserve">A mix skewed toward lower-fee transactions.</w:t>
      </w:r>
    </w:p>
    <w:p>
      <w:pPr>
        <w:pStyle w:val="Compact"/>
        <w:numPr>
          <w:ilvl w:val="0"/>
          <w:numId w:val="1004"/>
        </w:numPr>
      </w:pPr>
      <w:r>
        <w:t xml:space="preserve">Greater concentration in a small number of very large financings.</w:t>
      </w:r>
    </w:p>
    <w:p>
      <w:pPr>
        <w:pStyle w:val="Compact"/>
        <w:numPr>
          <w:ilvl w:val="0"/>
          <w:numId w:val="1004"/>
        </w:numPr>
      </w:pPr>
      <w:r>
        <w:t xml:space="preserve">Evidence that competition is compressing spreads or weakening structure.</w:t>
      </w:r>
    </w:p>
    <w:p>
      <w:pPr>
        <w:pStyle w:val="FirstParagraph"/>
      </w:pPr>
      <w:r>
        <w:t xml:space="preserve">Apollo has generated more than</w:t>
      </w:r>
      <w:r>
        <w:t xml:space="preserve"> </w:t>
      </w:r>
      <w:r>
        <w:rPr>
          <w:b/>
          <w:bCs/>
        </w:rPr>
        <w:t xml:space="preserve">$200 million of Capital Solutions fees for four consecutive quarters</w:t>
      </w:r>
      <w:r>
        <w:t xml:space="preserve">, with Q1 reaching a record $246 million. Investors should determine whether this is becoming a sustainable earnings stream or remains unusually transaction-dependent.</w:t>
      </w:r>
    </w:p>
    <w:p>
      <w:r>
        <w:pict>
          <v:rect style="width:0;height:1.5pt" o:hralign="center" o:hrstd="t" o:hr="t"/>
        </w:pict>
      </w:r>
    </w:p>
    <w:bookmarkEnd w:id="12"/>
    <w:bookmarkEnd w:id="13"/>
    <w:bookmarkStart w:id="16" w:name="Xa20a6deadc1b489782a8b254a3ef4554c45b81a"/>
    <w:p>
      <w:pPr>
        <w:pStyle w:val="Heading2"/>
      </w:pPr>
      <w:r>
        <w:t xml:space="preserve">2. Fundraising quality matters more than total AUM</w:t>
      </w:r>
    </w:p>
    <w:p>
      <w:pPr>
        <w:pStyle w:val="FirstParagraph"/>
      </w:pPr>
      <w:r>
        <w:t xml:space="preserve">Apollo crossed</w:t>
      </w:r>
      <w:r>
        <w:t xml:space="preserve"> </w:t>
      </w:r>
      <m:oMath>
        <m:r>
          <m:t>1</m:t>
        </m:r>
        <m:r>
          <m:t>t</m:t>
        </m:r>
        <m:r>
          <m:t>r</m:t>
        </m:r>
        <m:r>
          <m:t>i</m:t>
        </m:r>
        <m:r>
          <m:t>l</m:t>
        </m:r>
        <m:r>
          <m:t>l</m:t>
        </m:r>
        <m:r>
          <m:t>i</m:t>
        </m:r>
        <m:r>
          <m:t>o</m:t>
        </m:r>
        <m:r>
          <m:t>n</m:t>
        </m:r>
        <m:r>
          <m:t>o</m:t>
        </m:r>
        <m:r>
          <m:t>f</m:t>
        </m:r>
        <m:r>
          <m:t>A</m:t>
        </m:r>
        <m:r>
          <m:t>U</m:t>
        </m:r>
        <m:r>
          <m:t>M</m:t>
        </m:r>
        <m:r>
          <m:rPr>
            <m:sty m:val="p"/>
          </m:rPr>
          <m:t>*</m:t>
        </m:r>
        <m:r>
          <m:rPr>
            <m:sty m:val="p"/>
          </m:rPr>
          <m:t>*</m:t>
        </m:r>
        <m:r>
          <m:t>i</m:t>
        </m:r>
        <m:r>
          <m:t>n</m:t>
        </m:r>
        <m:r>
          <m:t>Q</m:t>
        </m:r>
        <m:r>
          <m:t>1</m:t>
        </m:r>
        <m:r>
          <m:rPr>
            <m:sty m:val="p"/>
          </m:rPr>
          <m:t>,</m:t>
        </m:r>
        <m:r>
          <m:t>b</m:t>
        </m:r>
        <m:r>
          <m:t>u</m:t>
        </m:r>
        <m:r>
          <m:t>t</m:t>
        </m:r>
        <m:r>
          <m:t>t</m:t>
        </m:r>
        <m:r>
          <m:t>h</m:t>
        </m:r>
        <m:r>
          <m:t>e</m:t>
        </m:r>
        <m:r>
          <m:t>h</m:t>
        </m:r>
        <m:r>
          <m:t>e</m:t>
        </m:r>
        <m:r>
          <m:t>a</m:t>
        </m:r>
        <m:r>
          <m:t>d</m:t>
        </m:r>
        <m:r>
          <m:t>l</m:t>
        </m:r>
        <m:r>
          <m:t>i</m:t>
        </m:r>
        <m:r>
          <m:t>n</m:t>
        </m:r>
        <m:r>
          <m:t>e</m:t>
        </m:r>
        <m:r>
          <m:t>i</m:t>
        </m:r>
        <m:r>
          <m:t>n</m:t>
        </m:r>
        <m:r>
          <m:t>c</m:t>
        </m:r>
        <m:r>
          <m:t>l</m:t>
        </m:r>
        <m:r>
          <m:t>u</m:t>
        </m:r>
        <m:r>
          <m:t>d</m:t>
        </m:r>
        <m:r>
          <m:t>e</m:t>
        </m:r>
        <m:r>
          <m:t>d</m:t>
        </m:r>
        <m:r>
          <m:t>a</m:t>
        </m:r>
        <m:r>
          <m:t>p</m:t>
        </m:r>
        <m:r>
          <m:t>p</m:t>
        </m:r>
        <m:r>
          <m:t>r</m:t>
        </m:r>
        <m:r>
          <m:t>o</m:t>
        </m:r>
        <m:r>
          <m:t>x</m:t>
        </m:r>
        <m:r>
          <m:t>i</m:t>
        </m:r>
        <m:r>
          <m:t>m</m:t>
        </m:r>
        <m:r>
          <m:t>a</m:t>
        </m:r>
        <m:r>
          <m:t>t</m:t>
        </m:r>
        <m:r>
          <m:t>e</m:t>
        </m:r>
        <m:r>
          <m:t>l</m:t>
        </m:r>
        <m:r>
          <m:t>y</m:t>
        </m:r>
        <m:r>
          <m:rPr>
            <m:sty m:val="p"/>
          </m:rPr>
          <m:t>*</m:t>
        </m:r>
        <m:r>
          <m:rPr>
            <m:sty m:val="p"/>
          </m:rPr>
          <m:t>*</m:t>
        </m:r>
      </m:oMath>
      <w:r>
        <w:rPr>
          <w:b/>
          <w:bCs/>
        </w:rPr>
        <w:t xml:space="preserve">65 billion</w:t>
      </w:r>
      <w:r>
        <w:t xml:space="preserve"> </w:t>
      </w:r>
      <w:r>
        <w:t xml:space="preserve">from Athora’s acquisition of Pension Insurance Corporation. Organic capital formation was $50 billion, split approximately:</w:t>
      </w:r>
    </w:p>
    <w:p>
      <w:pPr>
        <w:pStyle w:val="Compact"/>
        <w:numPr>
          <w:ilvl w:val="0"/>
          <w:numId w:val="1005"/>
        </w:numPr>
      </w:pPr>
      <w:r>
        <w:rPr>
          <w:b/>
          <w:bCs/>
        </w:rPr>
        <w:t xml:space="preserve">$30 billion</w:t>
      </w:r>
      <w:r>
        <w:t xml:space="preserve"> </w:t>
      </w:r>
      <w:r>
        <w:t xml:space="preserve">in Asset Management</w:t>
      </w:r>
    </w:p>
    <w:p>
      <w:pPr>
        <w:pStyle w:val="Compact"/>
        <w:numPr>
          <w:ilvl w:val="0"/>
          <w:numId w:val="1005"/>
        </w:numPr>
      </w:pPr>
      <w:r>
        <w:rPr>
          <w:b/>
          <w:bCs/>
        </w:rPr>
        <w:t xml:space="preserve">$20 billion</w:t>
      </w:r>
      <w:r>
        <w:t xml:space="preserve"> </w:t>
      </w:r>
      <w:r>
        <w:t xml:space="preserve">at Athene</w:t>
      </w:r>
    </w:p>
    <w:p>
      <w:pPr>
        <w:pStyle w:val="FirstParagraph"/>
      </w:pPr>
      <w:r>
        <w:t xml:space="preserve">For Q2, investors should separate:</w:t>
      </w:r>
    </w:p>
    <w:p>
      <w:pPr>
        <w:pStyle w:val="Compact"/>
        <w:numPr>
          <w:ilvl w:val="0"/>
          <w:numId w:val="1006"/>
        </w:numPr>
      </w:pPr>
      <w:r>
        <w:t xml:space="preserve">Organic third-party fundraising</w:t>
      </w:r>
    </w:p>
    <w:p>
      <w:pPr>
        <w:pStyle w:val="Compact"/>
        <w:numPr>
          <w:ilvl w:val="0"/>
          <w:numId w:val="1006"/>
        </w:numPr>
      </w:pPr>
      <w:r>
        <w:t xml:space="preserve">Athene liability formation</w:t>
      </w:r>
    </w:p>
    <w:p>
      <w:pPr>
        <w:pStyle w:val="Compact"/>
        <w:numPr>
          <w:ilvl w:val="0"/>
          <w:numId w:val="1006"/>
        </w:numPr>
      </w:pPr>
      <w:r>
        <w:t xml:space="preserve">Athora/PIC-related additions</w:t>
      </w:r>
    </w:p>
    <w:p>
      <w:pPr>
        <w:pStyle w:val="Compact"/>
        <w:numPr>
          <w:ilvl w:val="0"/>
          <w:numId w:val="1006"/>
        </w:numPr>
      </w:pPr>
      <w:r>
        <w:t xml:space="preserve">Market appreciation</w:t>
      </w:r>
    </w:p>
    <w:p>
      <w:pPr>
        <w:pStyle w:val="Compact"/>
        <w:numPr>
          <w:ilvl w:val="0"/>
          <w:numId w:val="1006"/>
        </w:numPr>
      </w:pPr>
      <w:r>
        <w:t xml:space="preserve">Redemptions and realizations</w:t>
      </w:r>
    </w:p>
    <w:p>
      <w:pPr>
        <w:pStyle w:val="FirstParagraph"/>
      </w:pPr>
      <w:r>
        <w:t xml:space="preserve">AUM growth should translate into faster recurring management-fee growth only when the assets are fee-generating at attractive rates.</w:t>
      </w:r>
    </w:p>
    <w:bookmarkStart w:id="14" w:name="pic-contribution"/>
    <w:p>
      <w:pPr>
        <w:pStyle w:val="Heading3"/>
      </w:pPr>
      <w:r>
        <w:t xml:space="preserve">PIC contribution</w:t>
      </w:r>
    </w:p>
    <w:p>
      <w:pPr>
        <w:pStyle w:val="FirstParagraph"/>
      </w:pPr>
      <w:r>
        <w:t xml:space="preserve">Management previously said the PIC acquisition should begin contributing in Q2 at an initial annualized management-fee rate of approximately</w:t>
      </w:r>
      <w:r>
        <w:t xml:space="preserve"> </w:t>
      </w:r>
      <w:r>
        <w:rPr>
          <w:b/>
          <w:bCs/>
        </w:rPr>
        <w:t xml:space="preserve">20 basis points</w:t>
      </w:r>
      <w:r>
        <w:t xml:space="preserve">, with little incremental expense because Apollo already has European infrastructure in place. The fee rate could increase as the acquired portfolio is repositioned.</w:t>
      </w:r>
    </w:p>
    <w:p>
      <w:pPr>
        <w:pStyle w:val="BodyText"/>
      </w:pPr>
      <w:r>
        <w:t xml:space="preserve">That should provide a relatively visible tailwind to FRE, although investors should avoid treating acquisition-related AUM as equivalent to organic fundraising.</w:t>
      </w:r>
    </w:p>
    <w:bookmarkEnd w:id="14"/>
    <w:bookmarkStart w:id="15" w:name="institutional-versus-wealth-flows"/>
    <w:p>
      <w:pPr>
        <w:pStyle w:val="Heading3"/>
      </w:pPr>
      <w:r>
        <w:t xml:space="preserve">Institutional versus wealth flows</w:t>
      </w:r>
    </w:p>
    <w:p>
      <w:pPr>
        <w:pStyle w:val="FirstParagraph"/>
      </w:pPr>
      <w:r>
        <w:t xml:space="preserve">Institutional demand appeared resilient through June, especially for credit, infrastructure and hybrid strategies. The more difficult area is global wealth:</w:t>
      </w:r>
    </w:p>
    <w:p>
      <w:pPr>
        <w:pStyle w:val="Compact"/>
        <w:numPr>
          <w:ilvl w:val="0"/>
          <w:numId w:val="1007"/>
        </w:numPr>
      </w:pPr>
      <w:r>
        <w:t xml:space="preserve">Q1 global-wealth fundraising was approximately</w:t>
      </w:r>
      <w:r>
        <w:t xml:space="preserve"> </w:t>
      </w:r>
      <w:r>
        <w:rPr>
          <w:b/>
          <w:bCs/>
        </w:rPr>
        <w:t xml:space="preserve">$4 billion</w:t>
      </w:r>
      <w:r>
        <w:t xml:space="preserve">.</w:t>
      </w:r>
    </w:p>
    <w:p>
      <w:pPr>
        <w:pStyle w:val="Compact"/>
        <w:numPr>
          <w:ilvl w:val="0"/>
          <w:numId w:val="1007"/>
        </w:numPr>
      </w:pPr>
      <w:r>
        <w:t xml:space="preserve">Apollo Debt Solutions, or ADS, experienced higher redemption requests.</w:t>
      </w:r>
    </w:p>
    <w:p>
      <w:pPr>
        <w:pStyle w:val="Compact"/>
        <w:numPr>
          <w:ilvl w:val="0"/>
          <w:numId w:val="1007"/>
        </w:numPr>
      </w:pPr>
      <w:r>
        <w:t xml:space="preserve">Management said 94% of ADS investors did not request redemption, and the fund had approximately flat net flows in Q1.</w:t>
      </w:r>
    </w:p>
    <w:p>
      <w:pPr>
        <w:pStyle w:val="Compact"/>
        <w:numPr>
          <w:ilvl w:val="0"/>
          <w:numId w:val="1007"/>
        </w:numPr>
      </w:pPr>
      <w:r>
        <w:t xml:space="preserve">Industry-wide concerns about private-credit valuations and fund liquidity remain elevated.</w:t>
      </w:r>
    </w:p>
    <w:p>
      <w:pPr>
        <w:pStyle w:val="FirstParagraph"/>
      </w:pPr>
      <w:r>
        <w:t xml:space="preserve">The key Q2 disclosure will be whether ADS and other evergreen products remained stable after the initial redemption cycle. A deterioration would probably outweigh an otherwise solid institutional fundraising quarter.</w:t>
      </w:r>
    </w:p>
    <w:p>
      <w:r>
        <w:pict>
          <v:rect style="width:0;height:1.5pt" o:hralign="center" o:hrstd="t" o:hr="t"/>
        </w:pict>
      </w:r>
    </w:p>
    <w:bookmarkEnd w:id="15"/>
    <w:bookmarkEnd w:id="16"/>
    <w:bookmarkStart w:id="19" w:name="X11f48830a55134b3c7c8dfae7ad84c9f125ad55"/>
    <w:p>
      <w:pPr>
        <w:pStyle w:val="Heading2"/>
      </w:pPr>
      <w:r>
        <w:t xml:space="preserve">3. Athene should improve sequentially, but the full-year hurdle remains</w:t>
      </w:r>
    </w:p>
    <w:p>
      <w:pPr>
        <w:pStyle w:val="FirstParagraph"/>
      </w:pPr>
      <w:r>
        <w:t xml:space="preserve">Athene generated</w:t>
      </w:r>
      <w:r>
        <w:t xml:space="preserve"> </w:t>
      </w:r>
      <w:r>
        <w:rPr>
          <w:b/>
          <w:bCs/>
        </w:rPr>
        <w:t xml:space="preserve">$719 million of SRE</w:t>
      </w:r>
      <w:r>
        <w:t xml:space="preserve"> </w:t>
      </w:r>
      <w:r>
        <w:t xml:space="preserve">in Q1. Results were constrained by a</w:t>
      </w:r>
      <w:r>
        <w:t xml:space="preserve"> </w:t>
      </w:r>
      <w:r>
        <w:rPr>
          <w:b/>
          <w:bCs/>
        </w:rPr>
        <w:t xml:space="preserve">6% annualized alternatives return</w:t>
      </w:r>
      <w:r>
        <w:t xml:space="preserve">, versus Apollo’s 11% long-term assumption. Management estimated that the lower alternatives return reduced Q1 net spread by approximately 25 basis points.</w:t>
      </w:r>
    </w:p>
    <w:p>
      <w:pPr>
        <w:pStyle w:val="BodyText"/>
      </w:pPr>
      <w:r>
        <w:t xml:space="preserve">Apollo has now preannounced:</w:t>
      </w:r>
    </w:p>
    <w:p>
      <w:pPr>
        <w:pStyle w:val="Compact"/>
        <w:numPr>
          <w:ilvl w:val="0"/>
          <w:numId w:val="1008"/>
        </w:numPr>
      </w:pPr>
      <w:r>
        <w:t xml:space="preserve">Q2 alternative net investment income of approximately</w:t>
      </w:r>
      <w:r>
        <w:t xml:space="preserve"> </w:t>
      </w:r>
      <w:r>
        <w:rPr>
          <w:b/>
          <w:bCs/>
        </w:rPr>
        <w:t xml:space="preserve">$350 million</w:t>
      </w:r>
    </w:p>
    <w:p>
      <w:pPr>
        <w:pStyle w:val="Compact"/>
        <w:numPr>
          <w:ilvl w:val="0"/>
          <w:numId w:val="1008"/>
        </w:numPr>
      </w:pPr>
      <w:r>
        <w:t xml:space="preserve">A</w:t>
      </w:r>
      <w:r>
        <w:t xml:space="preserve"> </w:t>
      </w:r>
      <w:r>
        <w:rPr>
          <w:b/>
          <w:bCs/>
        </w:rPr>
        <w:t xml:space="preserve">9% annualized return</w:t>
      </w:r>
      <w:r>
        <w:t xml:space="preserve"> </w:t>
      </w:r>
      <w:r>
        <w:t xml:space="preserve">on the alternatives portfolio</w:t>
      </w:r>
    </w:p>
    <w:p>
      <w:pPr>
        <w:pStyle w:val="Compact"/>
        <w:numPr>
          <w:ilvl w:val="0"/>
          <w:numId w:val="1008"/>
        </w:numPr>
      </w:pPr>
      <w:r>
        <w:t xml:space="preserve">Approximately</w:t>
      </w:r>
      <w:r>
        <w:t xml:space="preserve"> </w:t>
      </w:r>
      <w:r>
        <w:rPr>
          <w:b/>
          <w:bCs/>
        </w:rPr>
        <w:t xml:space="preserve">10%</w:t>
      </w:r>
      <w:r>
        <w:t xml:space="preserve"> </w:t>
      </w:r>
      <w:r>
        <w:t xml:space="preserve">on the primary pooled investment vehicle holding most of the portfolio</w:t>
      </w:r>
    </w:p>
    <w:p>
      <w:pPr>
        <w:pStyle w:val="Compact"/>
        <w:numPr>
          <w:ilvl w:val="0"/>
          <w:numId w:val="1008"/>
        </w:numPr>
      </w:pPr>
      <w:r>
        <w:t xml:space="preserve">Approximately</w:t>
      </w:r>
      <w:r>
        <w:t xml:space="preserve"> </w:t>
      </w:r>
      <w:r>
        <w:rPr>
          <w:b/>
          <w:bCs/>
        </w:rPr>
        <w:t xml:space="preserve">6%</w:t>
      </w:r>
      <w:r>
        <w:t xml:space="preserve"> </w:t>
      </w:r>
      <w:r>
        <w:t xml:space="preserve">on other alternatives, including retirement-services platforms</w:t>
      </w:r>
    </w:p>
    <w:p>
      <w:pPr>
        <w:pStyle w:val="FirstParagraph"/>
      </w:pPr>
      <w:r>
        <w:t xml:space="preserve">This removes a major source of uncertainty. It also suggests a meaningful sequential improvement, but not a complete normalization to the 11% return assumed in annual guidance.</w:t>
      </w:r>
    </w:p>
    <w:bookmarkStart w:id="17" w:name="net-spread-is-the-key-athene-metric"/>
    <w:p>
      <w:pPr>
        <w:pStyle w:val="Heading3"/>
      </w:pPr>
      <w:r>
        <w:t xml:space="preserve">Net spread is the key Athene metric</w:t>
      </w:r>
    </w:p>
    <w:p>
      <w:pPr>
        <w:pStyle w:val="FirstParagraph"/>
      </w:pPr>
      <w:r>
        <w:t xml:space="preserve">Management’s full-year objective is a</w:t>
      </w:r>
      <w:r>
        <w:t xml:space="preserve"> </w:t>
      </w:r>
      <w:r>
        <w:rPr>
          <w:b/>
          <w:bCs/>
        </w:rPr>
        <w:t xml:space="preserve">120–125 basis-point net spread</w:t>
      </w:r>
      <w:r>
        <w:t xml:space="preserve">, assuming an 11% alternatives return. The underlying questions are:</w:t>
      </w:r>
    </w:p>
    <w:p>
      <w:pPr>
        <w:pStyle w:val="Compact"/>
        <w:numPr>
          <w:ilvl w:val="0"/>
          <w:numId w:val="1009"/>
        </w:numPr>
      </w:pPr>
      <w:r>
        <w:t xml:space="preserve">Are prepayment headwinds continuing to fade?</w:t>
      </w:r>
    </w:p>
    <w:p>
      <w:pPr>
        <w:pStyle w:val="Compact"/>
        <w:numPr>
          <w:ilvl w:val="0"/>
          <w:numId w:val="1009"/>
        </w:numPr>
      </w:pPr>
      <w:r>
        <w:t xml:space="preserve">Is the runoff of older, unusually profitable post-COVID business becoming less significant?</w:t>
      </w:r>
    </w:p>
    <w:p>
      <w:pPr>
        <w:pStyle w:val="Compact"/>
        <w:numPr>
          <w:ilvl w:val="0"/>
          <w:numId w:val="1009"/>
        </w:numPr>
      </w:pPr>
      <w:r>
        <w:t xml:space="preserve">How quickly is Athene deploying its large cash and Treasury position?</w:t>
      </w:r>
    </w:p>
    <w:p>
      <w:pPr>
        <w:pStyle w:val="Compact"/>
        <w:numPr>
          <w:ilvl w:val="0"/>
          <w:numId w:val="1009"/>
        </w:numPr>
      </w:pPr>
      <w:r>
        <w:t xml:space="preserve">Are new assets being originated at sufficiently attractive yields?</w:t>
      </w:r>
    </w:p>
    <w:p>
      <w:pPr>
        <w:pStyle w:val="Compact"/>
        <w:numPr>
          <w:ilvl w:val="0"/>
          <w:numId w:val="1009"/>
        </w:numPr>
      </w:pPr>
      <w:r>
        <w:t xml:space="preserve">Is the cost of new annuities and funding agreements stabilizing?</w:t>
      </w:r>
    </w:p>
    <w:p>
      <w:pPr>
        <w:pStyle w:val="FirstParagraph"/>
      </w:pPr>
      <w:r>
        <w:t xml:space="preserve">At the May Athene investor call, the company reported close to</w:t>
      </w:r>
      <w:r>
        <w:t xml:space="preserve"> </w:t>
      </w:r>
      <w:r>
        <w:rPr>
          <w:b/>
          <w:bCs/>
        </w:rPr>
        <w:t xml:space="preserve">$40 billion of cash, Treasuries and agencies</w:t>
      </w:r>
      <w:r>
        <w:t xml:space="preserve"> </w:t>
      </w:r>
      <w:r>
        <w:t xml:space="preserve">as of mid-April. Holding that liquidity protects the balance sheet and provides dry powder, but it can depress near-term earnings if it is not deployed.</w:t>
      </w:r>
    </w:p>
    <w:p>
      <w:pPr>
        <w:pStyle w:val="BodyText"/>
      </w:pPr>
      <w:r>
        <w:t xml:space="preserve">A constructive quarter would show that Apollo is converting the origination pipeline into higher-yielding Athene assets while maintaining credit quality.</w:t>
      </w:r>
    </w:p>
    <w:bookmarkEnd w:id="17"/>
    <w:bookmarkStart w:id="18" w:name="liability-formation-looks-encouraging"/>
    <w:p>
      <w:pPr>
        <w:pStyle w:val="Heading3"/>
      </w:pPr>
      <w:r>
        <w:t xml:space="preserve">Liability formation looks encouraging</w:t>
      </w:r>
    </w:p>
    <w:p>
      <w:pPr>
        <w:pStyle w:val="FirstParagraph"/>
      </w:pPr>
      <w:r>
        <w:t xml:space="preserve">Athene indicated that April was strong, including:</w:t>
      </w:r>
    </w:p>
    <w:p>
      <w:pPr>
        <w:pStyle w:val="Compact"/>
        <w:numPr>
          <w:ilvl w:val="0"/>
          <w:numId w:val="1010"/>
        </w:numPr>
      </w:pPr>
      <w:r>
        <w:t xml:space="preserve">Approximately</w:t>
      </w:r>
      <w:r>
        <w:t xml:space="preserve"> </w:t>
      </w:r>
      <w:r>
        <w:rPr>
          <w:b/>
          <w:bCs/>
        </w:rPr>
        <w:t xml:space="preserve">$3.7 billion of retail volumes</w:t>
      </w:r>
    </w:p>
    <w:p>
      <w:pPr>
        <w:pStyle w:val="Compact"/>
        <w:numPr>
          <w:ilvl w:val="0"/>
          <w:numId w:val="1010"/>
        </w:numPr>
      </w:pPr>
      <w:r>
        <w:t xml:space="preserve">Approximately</w:t>
      </w:r>
      <w:r>
        <w:t xml:space="preserve"> </w:t>
      </w:r>
      <w:r>
        <w:rPr>
          <w:b/>
          <w:bCs/>
        </w:rPr>
        <w:t xml:space="preserve">$2.6 billion of flow reinsurance</w:t>
      </w:r>
    </w:p>
    <w:p>
      <w:pPr>
        <w:pStyle w:val="FirstParagraph"/>
      </w:pPr>
      <w:r>
        <w:t xml:space="preserve">Management said that pace was continuing into May. That provides a favorable starting point for Q2 organic volumes, although pricing discipline matters as much as gross production. Athene has repeatedly said that some competitors are writing annuities at unattractive spreads.</w:t>
      </w:r>
    </w:p>
    <w:p>
      <w:r>
        <w:pict>
          <v:rect style="width:0;height:1.5pt" o:hralign="center" o:hrstd="t" o:hr="t"/>
        </w:pict>
      </w:r>
    </w:p>
    <w:bookmarkEnd w:id="18"/>
    <w:bookmarkEnd w:id="19"/>
    <w:bookmarkStart w:id="20" w:name="X04dac0ba6de124713a8efa129287ece8966dd04"/>
    <w:p>
      <w:pPr>
        <w:pStyle w:val="Heading2"/>
      </w:pPr>
      <w:r>
        <w:t xml:space="preserve">4. Do not confuse the expected GAAP gain with recurring earnings</w:t>
      </w:r>
    </w:p>
    <w:p>
      <w:pPr>
        <w:pStyle w:val="FirstParagraph"/>
      </w:pPr>
      <w:r>
        <w:t xml:space="preserve">Apollo disclosed in its Q1 10-Q that the repayment of AP Grange’s asset-backed debt—associated with the Intel financing—would produce approximately:</w:t>
      </w:r>
    </w:p>
    <w:p>
      <w:pPr>
        <w:pStyle w:val="Compact"/>
        <w:numPr>
          <w:ilvl w:val="0"/>
          <w:numId w:val="1011"/>
        </w:numPr>
      </w:pPr>
      <w:r>
        <w:rPr>
          <w:b/>
          <w:bCs/>
        </w:rPr>
        <w:t xml:space="preserve">$673 million of Q2 GAAP income</w:t>
      </w:r>
    </w:p>
    <w:p>
      <w:pPr>
        <w:pStyle w:val="Compact"/>
        <w:numPr>
          <w:ilvl w:val="0"/>
          <w:numId w:val="1011"/>
        </w:numPr>
      </w:pPr>
      <w:r>
        <w:rPr>
          <w:b/>
          <w:bCs/>
        </w:rPr>
        <w:t xml:space="preserve">$458 million of non-operating gain</w:t>
      </w:r>
      <w:r>
        <w:t xml:space="preserve">, net of ACRA noncontrolling interests</w:t>
      </w:r>
    </w:p>
    <w:p>
      <w:pPr>
        <w:pStyle w:val="FirstParagraph"/>
      </w:pPr>
      <w:r>
        <w:t xml:space="preserve">The gain does</w:t>
      </w:r>
      <w:r>
        <w:t xml:space="preserve"> </w:t>
      </w:r>
      <w:r>
        <w:rPr>
          <w:b/>
          <w:bCs/>
        </w:rPr>
        <w:t xml:space="preserve">not</w:t>
      </w:r>
      <w:r>
        <w:t xml:space="preserve"> </w:t>
      </w:r>
      <w:r>
        <w:t xml:space="preserve">flow through SRE because realized investment gains and losses are excluded from that non-GAAP measure.</w:t>
      </w:r>
    </w:p>
    <w:p>
      <w:pPr>
        <w:pStyle w:val="BodyText"/>
      </w:pPr>
      <w:r>
        <w:t xml:space="preserve">This could make Apollo’s GAAP earnings look unusually strong, but it should not be capitalized as recurring operating income. The economic benefit is still real: it increases excess capital and gives Athene additional flexibility to reposition the asset portfolio. However, adjusted EPS, FRE and SRE remain the better measures of underlying operating performance.</w:t>
      </w:r>
    </w:p>
    <w:p>
      <w:r>
        <w:pict>
          <v:rect style="width:0;height:1.5pt" o:hralign="center" o:hrstd="t" o:hr="t"/>
        </w:pict>
      </w:r>
    </w:p>
    <w:bookmarkEnd w:id="20"/>
    <w:bookmarkStart w:id="21" w:name="X5bdc82ddd3314f7171b75c739a6e2e3a2397fd1"/>
    <w:p>
      <w:pPr>
        <w:pStyle w:val="Heading2"/>
      </w:pPr>
      <w:r>
        <w:t xml:space="preserve">5. Private-credit concerns have not disappeared</w:t>
      </w:r>
    </w:p>
    <w:p>
      <w:pPr>
        <w:pStyle w:val="FirstParagraph"/>
      </w:pPr>
      <w:r>
        <w:t xml:space="preserve">Apollo has positioned itself as one of the more defensive private-credit managers:</w:t>
      </w:r>
    </w:p>
    <w:p>
      <w:pPr>
        <w:pStyle w:val="Compact"/>
        <w:numPr>
          <w:ilvl w:val="0"/>
          <w:numId w:val="1012"/>
        </w:numPr>
      </w:pPr>
      <w:r>
        <w:t xml:space="preserve">More than 80% of recent origination has generally been investment grade.</w:t>
      </w:r>
    </w:p>
    <w:p>
      <w:pPr>
        <w:pStyle w:val="Compact"/>
        <w:numPr>
          <w:ilvl w:val="0"/>
          <w:numId w:val="1012"/>
        </w:numPr>
      </w:pPr>
      <w:r>
        <w:t xml:space="preserve">Athene says 95% of its assets are fixed income.</w:t>
      </w:r>
    </w:p>
    <w:p>
      <w:pPr>
        <w:pStyle w:val="Compact"/>
        <w:numPr>
          <w:ilvl w:val="0"/>
          <w:numId w:val="1012"/>
        </w:numPr>
      </w:pPr>
      <w:r>
        <w:t xml:space="preserve">Approximately 98% of Athene’s available-for-sale fixed-maturity securities were investment grade.</w:t>
      </w:r>
    </w:p>
    <w:p>
      <w:pPr>
        <w:pStyle w:val="Compact"/>
        <w:numPr>
          <w:ilvl w:val="0"/>
          <w:numId w:val="1012"/>
        </w:numPr>
      </w:pPr>
      <w:r>
        <w:t xml:space="preserve">Athene’s direct exposure to leveraged lending was only about</w:t>
      </w:r>
      <w:r>
        <w:t xml:space="preserve"> </w:t>
      </w:r>
      <w:r>
        <w:rPr>
          <w:b/>
          <w:bCs/>
        </w:rPr>
        <w:t xml:space="preserve">0.4%</w:t>
      </w:r>
      <w:r>
        <w:t xml:space="preserve"> </w:t>
      </w:r>
      <w:r>
        <w:t xml:space="preserve">in Q1.</w:t>
      </w:r>
    </w:p>
    <w:p>
      <w:pPr>
        <w:pStyle w:val="Compact"/>
        <w:numPr>
          <w:ilvl w:val="0"/>
          <w:numId w:val="1012"/>
        </w:numPr>
      </w:pPr>
      <w:r>
        <w:t xml:space="preserve">Apollo reported less than 2% software exposure across its credit platform and approximately 0.1% software exposure at Athene.</w:t>
      </w:r>
    </w:p>
    <w:p>
      <w:pPr>
        <w:pStyle w:val="Compact"/>
        <w:numPr>
          <w:ilvl w:val="0"/>
          <w:numId w:val="1012"/>
        </w:numPr>
      </w:pPr>
      <w:r>
        <w:t xml:space="preserve">Apollo is implementing daily pricing across its private-credit platform and expanding secondary-market trading.</w:t>
      </w:r>
    </w:p>
    <w:p>
      <w:pPr>
        <w:pStyle w:val="FirstParagraph"/>
      </w:pPr>
      <w:r>
        <w:t xml:space="preserve">These are meaningful mitigants, but the market will still scrutinize:</w:t>
      </w:r>
    </w:p>
    <w:p>
      <w:pPr>
        <w:pStyle w:val="Compact"/>
        <w:numPr>
          <w:ilvl w:val="0"/>
          <w:numId w:val="1013"/>
        </w:numPr>
      </w:pPr>
      <w:r>
        <w:t xml:space="preserve">Nonaccruals and realized credit losses</w:t>
      </w:r>
    </w:p>
    <w:p>
      <w:pPr>
        <w:pStyle w:val="Compact"/>
        <w:numPr>
          <w:ilvl w:val="0"/>
          <w:numId w:val="1013"/>
        </w:numPr>
      </w:pPr>
      <w:r>
        <w:t xml:space="preserve">Watch-list migration</w:t>
      </w:r>
    </w:p>
    <w:p>
      <w:pPr>
        <w:pStyle w:val="Compact"/>
        <w:numPr>
          <w:ilvl w:val="0"/>
          <w:numId w:val="1013"/>
        </w:numPr>
      </w:pPr>
      <w:r>
        <w:t xml:space="preserve">Marks on privately held assets</w:t>
      </w:r>
    </w:p>
    <w:p>
      <w:pPr>
        <w:pStyle w:val="Compact"/>
        <w:numPr>
          <w:ilvl w:val="0"/>
          <w:numId w:val="1013"/>
        </w:numPr>
      </w:pPr>
      <w:r>
        <w:t xml:space="preserve">Atlas and other origination-platform valuations</w:t>
      </w:r>
    </w:p>
    <w:p>
      <w:pPr>
        <w:pStyle w:val="Compact"/>
        <w:numPr>
          <w:ilvl w:val="0"/>
          <w:numId w:val="1013"/>
        </w:numPr>
      </w:pPr>
      <w:r>
        <w:t xml:space="preserve">Software and technology-related exposures</w:t>
      </w:r>
    </w:p>
    <w:p>
      <w:pPr>
        <w:pStyle w:val="Compact"/>
        <w:numPr>
          <w:ilvl w:val="0"/>
          <w:numId w:val="1013"/>
        </w:numPr>
      </w:pPr>
      <w:r>
        <w:t xml:space="preserve">Affiliated and related-party assets</w:t>
      </w:r>
    </w:p>
    <w:p>
      <w:pPr>
        <w:pStyle w:val="Compact"/>
        <w:numPr>
          <w:ilvl w:val="0"/>
          <w:numId w:val="1013"/>
        </w:numPr>
      </w:pPr>
      <w:r>
        <w:t xml:space="preserve">Fund-finance and asset-backed exposures</w:t>
      </w:r>
    </w:p>
    <w:p>
      <w:pPr>
        <w:pStyle w:val="Compact"/>
        <w:numPr>
          <w:ilvl w:val="0"/>
          <w:numId w:val="1013"/>
        </w:numPr>
      </w:pPr>
      <w:r>
        <w:t xml:space="preserve">ADS liquidity and redemption activity</w:t>
      </w:r>
    </w:p>
    <w:p>
      <w:pPr>
        <w:pStyle w:val="FirstParagraph"/>
      </w:pPr>
      <w:r>
        <w:t xml:space="preserve">Management’s transparency initiative is strategically important, but it also raises the bar: investors will expect the disclosed portfolio statistics to confirm the company’s low-loss, high-grade narrative.</w:t>
      </w:r>
    </w:p>
    <w:p>
      <w:r>
        <w:pict>
          <v:rect style="width:0;height:1.5pt" o:hralign="center" o:hrstd="t" o:hr="t"/>
        </w:pict>
      </w:r>
    </w:p>
    <w:bookmarkEnd w:id="21"/>
    <w:bookmarkStart w:id="22" w:name="Xe718ef787d6757470b92adedbbbf1473d57229f"/>
    <w:p>
      <w:pPr>
        <w:pStyle w:val="Heading2"/>
      </w:pPr>
      <w:r>
        <w:t xml:space="preserve">6. FRE growth needs to remain broad-based</w:t>
      </w:r>
    </w:p>
    <w:p>
      <w:pPr>
        <w:pStyle w:val="FirstParagraph"/>
      </w:pPr>
      <w:r>
        <w:t xml:space="preserve">Q1 FRE rose 30% year over year to $728 million, supported by:</w:t>
      </w:r>
    </w:p>
    <w:p>
      <w:pPr>
        <w:pStyle w:val="Compact"/>
        <w:numPr>
          <w:ilvl w:val="0"/>
          <w:numId w:val="1014"/>
        </w:numPr>
      </w:pPr>
      <w:r>
        <w:t xml:space="preserve">24% growth in management fees</w:t>
      </w:r>
    </w:p>
    <w:p>
      <w:pPr>
        <w:pStyle w:val="Compact"/>
        <w:numPr>
          <w:ilvl w:val="0"/>
          <w:numId w:val="1014"/>
        </w:numPr>
      </w:pPr>
      <w:r>
        <w:t xml:space="preserve">Record Capital Solutions fees</w:t>
      </w:r>
    </w:p>
    <w:p>
      <w:pPr>
        <w:pStyle w:val="Compact"/>
        <w:numPr>
          <w:ilvl w:val="0"/>
          <w:numId w:val="1014"/>
        </w:numPr>
      </w:pPr>
      <w:r>
        <w:t xml:space="preserve">Growth in perpetual-capital performance fees</w:t>
      </w:r>
    </w:p>
    <w:p>
      <w:pPr>
        <w:pStyle w:val="Compact"/>
        <w:numPr>
          <w:ilvl w:val="0"/>
          <w:numId w:val="1014"/>
        </w:numPr>
      </w:pPr>
      <w:r>
        <w:t xml:space="preserve">Bridge’s contribution</w:t>
      </w:r>
    </w:p>
    <w:p>
      <w:pPr>
        <w:pStyle w:val="Compact"/>
        <w:numPr>
          <w:ilvl w:val="0"/>
          <w:numId w:val="1014"/>
        </w:numPr>
      </w:pPr>
      <w:r>
        <w:t xml:space="preserve">A 58% FRE margin</w:t>
      </w:r>
    </w:p>
    <w:p>
      <w:pPr>
        <w:pStyle w:val="FirstParagraph"/>
      </w:pPr>
      <w:r>
        <w:t xml:space="preserve">Management maintained its target of</w:t>
      </w:r>
      <w:r>
        <w:t xml:space="preserve"> </w:t>
      </w:r>
      <w:r>
        <w:rPr>
          <w:b/>
          <w:bCs/>
        </w:rPr>
        <w:t xml:space="preserve">20%+ full-year FRE growth</w:t>
      </w:r>
      <w:r>
        <w:t xml:space="preserve">. The Q2 report should reveal how much of the growth is recurring.</w:t>
      </w:r>
    </w:p>
    <w:p>
      <w:pPr>
        <w:pStyle w:val="BodyText"/>
      </w:pPr>
      <w:r>
        <w:t xml:space="preserve">The highest-quality outcome would include:</w:t>
      </w:r>
    </w:p>
    <w:p>
      <w:pPr>
        <w:pStyle w:val="Compact"/>
        <w:numPr>
          <w:ilvl w:val="0"/>
          <w:numId w:val="1015"/>
        </w:numPr>
      </w:pPr>
      <w:r>
        <w:t xml:space="preserve">Strong credit and equity management-fee growth</w:t>
      </w:r>
    </w:p>
    <w:p>
      <w:pPr>
        <w:pStyle w:val="Compact"/>
        <w:numPr>
          <w:ilvl w:val="0"/>
          <w:numId w:val="1015"/>
        </w:numPr>
      </w:pPr>
      <w:r>
        <w:t xml:space="preserve">Initial PIC fees</w:t>
      </w:r>
    </w:p>
    <w:p>
      <w:pPr>
        <w:pStyle w:val="Compact"/>
        <w:numPr>
          <w:ilvl w:val="0"/>
          <w:numId w:val="1015"/>
        </w:numPr>
      </w:pPr>
      <w:r>
        <w:t xml:space="preserve">Continued Bridge contribution</w:t>
      </w:r>
    </w:p>
    <w:p>
      <w:pPr>
        <w:pStyle w:val="Compact"/>
        <w:numPr>
          <w:ilvl w:val="0"/>
          <w:numId w:val="1015"/>
        </w:numPr>
      </w:pPr>
      <w:r>
        <w:t xml:space="preserve">ACS fees above $200 million without reliance on one transaction</w:t>
      </w:r>
    </w:p>
    <w:p>
      <w:pPr>
        <w:pStyle w:val="Compact"/>
        <w:numPr>
          <w:ilvl w:val="0"/>
          <w:numId w:val="1015"/>
        </w:numPr>
      </w:pPr>
      <w:r>
        <w:t xml:space="preserve">Stable or expanding FRE margin</w:t>
      </w:r>
    </w:p>
    <w:p>
      <w:pPr>
        <w:pStyle w:val="Compact"/>
        <w:numPr>
          <w:ilvl w:val="0"/>
          <w:numId w:val="1015"/>
        </w:numPr>
      </w:pPr>
      <w:r>
        <w:t xml:space="preserve">Expense growth below fee-revenue growth</w:t>
      </w:r>
    </w:p>
    <w:p>
      <w:pPr>
        <w:pStyle w:val="FirstParagraph"/>
      </w:pPr>
      <w:r>
        <w:t xml:space="preserve">Potential pressure points include technology spending, Bridge integration, hiring and stock-based compensation. Q1 fee-related expenses increased materially, even though operating leverage remained positive.</w:t>
      </w:r>
    </w:p>
    <w:p>
      <w:r>
        <w:pict>
          <v:rect style="width:0;height:1.5pt" o:hralign="center" o:hrstd="t" o:hr="t"/>
        </w:pict>
      </w:r>
    </w:p>
    <w:bookmarkEnd w:id="22"/>
    <w:bookmarkStart w:id="23" w:name="X201118ea09844d835ad904ab0c5580eaa8a7374"/>
    <w:p>
      <w:pPr>
        <w:pStyle w:val="Heading2"/>
      </w:pPr>
      <w:r>
        <w:t xml:space="preserve">7. Market expectations appear cautious rather than euphoric</w:t>
      </w:r>
    </w:p>
    <w:p>
      <w:pPr>
        <w:pStyle w:val="FirstParagraph"/>
      </w:pPr>
      <w:r>
        <w:t xml:space="preserve">APO closed at</w:t>
      </w:r>
      <w:r>
        <w:t xml:space="preserve"> </w:t>
      </w:r>
      <w:r>
        <w:rPr>
          <w:b/>
          <w:bCs/>
        </w:rPr>
        <w:t xml:space="preserve">$129.45 on August 3</w:t>
      </w:r>
      <w:r>
        <w:t xml:space="preserve">, essentially unchanged from its $129.53 close on the Q1 reporting date. Over the same period:</w:t>
      </w:r>
    </w:p>
    <w:p>
      <w:pPr>
        <w:pStyle w:val="Compact"/>
        <w:numPr>
          <w:ilvl w:val="0"/>
          <w:numId w:val="1016"/>
        </w:numPr>
      </w:pPr>
      <w:r>
        <w:t xml:space="preserve">BX gained approximately 8%</w:t>
      </w:r>
    </w:p>
    <w:p>
      <w:pPr>
        <w:pStyle w:val="Compact"/>
        <w:numPr>
          <w:ilvl w:val="0"/>
          <w:numId w:val="1016"/>
        </w:numPr>
      </w:pPr>
      <w:r>
        <w:t xml:space="preserve">KKR gained approximately 6%</w:t>
      </w:r>
    </w:p>
    <w:p>
      <w:pPr>
        <w:pStyle w:val="Compact"/>
        <w:numPr>
          <w:ilvl w:val="0"/>
          <w:numId w:val="1016"/>
        </w:numPr>
      </w:pPr>
      <w:r>
        <w:t xml:space="preserve">SPY gained approximately 3%</w:t>
      </w:r>
    </w:p>
    <w:p>
      <w:pPr>
        <w:pStyle w:val="FirstParagraph"/>
      </w:pPr>
      <w:r>
        <w:t xml:space="preserve">APO also remained roughly 7% below its mid-June high.</w:t>
      </w:r>
    </w:p>
    <w:p>
      <w:pPr>
        <w:pStyle w:val="BodyText"/>
      </w:pPr>
      <w:r>
        <w:t xml:space="preserve">That relative underperformance suggests that investors are already discounting some combination of:</w:t>
      </w:r>
    </w:p>
    <w:p>
      <w:pPr>
        <w:pStyle w:val="Compact"/>
        <w:numPr>
          <w:ilvl w:val="0"/>
          <w:numId w:val="1017"/>
        </w:numPr>
      </w:pPr>
      <w:r>
        <w:t xml:space="preserve">Private-credit and wealth-redemption concerns</w:t>
      </w:r>
    </w:p>
    <w:p>
      <w:pPr>
        <w:pStyle w:val="Compact"/>
        <w:numPr>
          <w:ilvl w:val="0"/>
          <w:numId w:val="1017"/>
        </w:numPr>
      </w:pPr>
      <w:r>
        <w:t xml:space="preserve">Athene spread uncertainty</w:t>
      </w:r>
    </w:p>
    <w:p>
      <w:pPr>
        <w:pStyle w:val="Compact"/>
        <w:numPr>
          <w:ilvl w:val="0"/>
          <w:numId w:val="1017"/>
        </w:numPr>
      </w:pPr>
      <w:r>
        <w:t xml:space="preserve">Higher interest rates and Treasury-market volatility</w:t>
      </w:r>
    </w:p>
    <w:p>
      <w:pPr>
        <w:pStyle w:val="Compact"/>
        <w:numPr>
          <w:ilvl w:val="0"/>
          <w:numId w:val="1017"/>
        </w:numPr>
      </w:pPr>
      <w:r>
        <w:t xml:space="preserve">A Q2 alternatives return below the 11% long-term assumption</w:t>
      </w:r>
    </w:p>
    <w:p>
      <w:pPr>
        <w:pStyle w:val="Compact"/>
        <w:numPr>
          <w:ilvl w:val="0"/>
          <w:numId w:val="1017"/>
        </w:numPr>
      </w:pPr>
      <w:r>
        <w:t xml:space="preserve">Concern about the durability of transaction-related fees</w:t>
      </w:r>
    </w:p>
    <w:p>
      <w:pPr>
        <w:pStyle w:val="FirstParagraph"/>
      </w:pPr>
      <w:r>
        <w:t xml:space="preserve">The setup is therefore not excessively demanding. However, the stock likely needs more than an EPS beat: investors will want clean guidance and evidence that organic flows, origination and Athene spreads remain on track.</w:t>
      </w:r>
    </w:p>
    <w:p>
      <w:r>
        <w:pict>
          <v:rect style="width:0;height:1.5pt" o:hralign="center" o:hrstd="t" o:hr="t"/>
        </w:pict>
      </w:r>
    </w:p>
    <w:bookmarkEnd w:id="23"/>
    <w:bookmarkStart w:id="27" w:name="what-would-constitute-a-good-quarter"/>
    <w:p>
      <w:pPr>
        <w:pStyle w:val="Heading2"/>
      </w:pPr>
      <w:r>
        <w:t xml:space="preserve">What would constitute a good quarter?</w:t>
      </w:r>
    </w:p>
    <w:bookmarkStart w:id="24" w:name="bullish-outcome"/>
    <w:p>
      <w:pPr>
        <w:pStyle w:val="Heading3"/>
      </w:pPr>
      <w:r>
        <w:t xml:space="preserve">Bullish outcome</w:t>
      </w:r>
    </w:p>
    <w:p>
      <w:pPr>
        <w:pStyle w:val="Compact"/>
        <w:numPr>
          <w:ilvl w:val="0"/>
          <w:numId w:val="1018"/>
        </w:numPr>
      </w:pPr>
      <w:r>
        <w:t xml:space="preserve">Adjusted EPS comfortably above</w:t>
      </w:r>
      <w:r>
        <w:t xml:space="preserve"> </w:t>
      </w:r>
      <w:r>
        <w:rPr>
          <w:b/>
          <w:bCs/>
        </w:rPr>
        <w:t xml:space="preserve">$2.15</w:t>
      </w:r>
    </w:p>
    <w:p>
      <w:pPr>
        <w:pStyle w:val="Compact"/>
        <w:numPr>
          <w:ilvl w:val="0"/>
          <w:numId w:val="1018"/>
        </w:numPr>
      </w:pPr>
      <w:r>
        <w:t xml:space="preserve">Organic capital formation above roughly</w:t>
      </w:r>
      <w:r>
        <w:t xml:space="preserve"> </w:t>
      </w:r>
      <w:r>
        <w:rPr>
          <w:b/>
          <w:bCs/>
        </w:rPr>
        <w:t xml:space="preserve">$50 billion</w:t>
      </w:r>
    </w:p>
    <w:p>
      <w:pPr>
        <w:pStyle w:val="Compact"/>
        <w:numPr>
          <w:ilvl w:val="0"/>
          <w:numId w:val="1018"/>
        </w:numPr>
      </w:pPr>
      <w:r>
        <w:t xml:space="preserve">Origination approaches or exceeds $90 billion</w:t>
      </w:r>
    </w:p>
    <w:p>
      <w:pPr>
        <w:pStyle w:val="Compact"/>
        <w:numPr>
          <w:ilvl w:val="0"/>
          <w:numId w:val="1018"/>
        </w:numPr>
      </w:pPr>
      <w:r>
        <w:t xml:space="preserve">ACS fees remain above $200 million</w:t>
      </w:r>
    </w:p>
    <w:p>
      <w:pPr>
        <w:pStyle w:val="Compact"/>
        <w:numPr>
          <w:ilvl w:val="0"/>
          <w:numId w:val="1018"/>
        </w:numPr>
      </w:pPr>
      <w:r>
        <w:t xml:space="preserve">FRE margin holds near 58%</w:t>
      </w:r>
    </w:p>
    <w:p>
      <w:pPr>
        <w:pStyle w:val="Compact"/>
        <w:numPr>
          <w:ilvl w:val="0"/>
          <w:numId w:val="1018"/>
        </w:numPr>
      </w:pPr>
      <w:r>
        <w:t xml:space="preserve">Athene net spread improves materially</w:t>
      </w:r>
    </w:p>
    <w:p>
      <w:pPr>
        <w:pStyle w:val="Compact"/>
        <w:numPr>
          <w:ilvl w:val="0"/>
          <w:numId w:val="1018"/>
        </w:numPr>
      </w:pPr>
      <w:r>
        <w:t xml:space="preserve">ADS redemptions remain contained</w:t>
      </w:r>
    </w:p>
    <w:p>
      <w:pPr>
        <w:pStyle w:val="Compact"/>
        <w:numPr>
          <w:ilvl w:val="0"/>
          <w:numId w:val="1018"/>
        </w:numPr>
      </w:pPr>
      <w:r>
        <w:t xml:space="preserve">Both 2026 FRE and SRE targets are reaffirmed</w:t>
      </w:r>
    </w:p>
    <w:p>
      <w:pPr>
        <w:pStyle w:val="Compact"/>
        <w:numPr>
          <w:ilvl w:val="0"/>
          <w:numId w:val="1018"/>
        </w:numPr>
      </w:pPr>
      <w:r>
        <w:t xml:space="preserve">Management describes a strong second-half pipeline</w:t>
      </w:r>
    </w:p>
    <w:bookmarkEnd w:id="24"/>
    <w:bookmarkStart w:id="25" w:name="mixed-outcome"/>
    <w:p>
      <w:pPr>
        <w:pStyle w:val="Heading3"/>
      </w:pPr>
      <w:r>
        <w:t xml:space="preserve">Mixed outcome</w:t>
      </w:r>
    </w:p>
    <w:p>
      <w:pPr>
        <w:pStyle w:val="Compact"/>
        <w:numPr>
          <w:ilvl w:val="0"/>
          <w:numId w:val="1019"/>
        </w:numPr>
      </w:pPr>
      <w:r>
        <w:t xml:space="preserve">EPS meets or beats due to the preannounced alternatives result</w:t>
      </w:r>
    </w:p>
    <w:p>
      <w:pPr>
        <w:pStyle w:val="Compact"/>
        <w:numPr>
          <w:ilvl w:val="0"/>
          <w:numId w:val="1019"/>
        </w:numPr>
      </w:pPr>
      <w:r>
        <w:t xml:space="preserve">Total inflows look strong but depend on Athene or acquisition-related AUM</w:t>
      </w:r>
    </w:p>
    <w:p>
      <w:pPr>
        <w:pStyle w:val="Compact"/>
        <w:numPr>
          <w:ilvl w:val="0"/>
          <w:numId w:val="1019"/>
        </w:numPr>
      </w:pPr>
      <w:r>
        <w:t xml:space="preserve">Origination is solid but below management’s bullish Q1 commentary</w:t>
      </w:r>
    </w:p>
    <w:p>
      <w:pPr>
        <w:pStyle w:val="Compact"/>
        <w:numPr>
          <w:ilvl w:val="0"/>
          <w:numId w:val="1019"/>
        </w:numPr>
      </w:pPr>
      <w:r>
        <w:t xml:space="preserve">Athene spread improves only modestly</w:t>
      </w:r>
    </w:p>
    <w:p>
      <w:pPr>
        <w:pStyle w:val="Compact"/>
        <w:numPr>
          <w:ilvl w:val="0"/>
          <w:numId w:val="1019"/>
        </w:numPr>
      </w:pPr>
      <w:r>
        <w:t xml:space="preserve">Guidance is maintained but with greater dependence on an 11% second-half alternatives return</w:t>
      </w:r>
    </w:p>
    <w:bookmarkEnd w:id="25"/>
    <w:bookmarkStart w:id="26" w:name="bearish-outcome"/>
    <w:p>
      <w:pPr>
        <w:pStyle w:val="Heading3"/>
      </w:pPr>
      <w:r>
        <w:t xml:space="preserve">Bearish outcome</w:t>
      </w:r>
    </w:p>
    <w:p>
      <w:pPr>
        <w:pStyle w:val="Compact"/>
        <w:numPr>
          <w:ilvl w:val="0"/>
          <w:numId w:val="1020"/>
        </w:numPr>
      </w:pPr>
      <w:r>
        <w:t xml:space="preserve">Adjusted EPS misses despite the alternatives preannouncement</w:t>
      </w:r>
    </w:p>
    <w:p>
      <w:pPr>
        <w:pStyle w:val="Compact"/>
        <w:numPr>
          <w:ilvl w:val="0"/>
          <w:numId w:val="1020"/>
        </w:numPr>
      </w:pPr>
      <w:r>
        <w:t xml:space="preserve">Organic flows fall materially below $50 billion</w:t>
      </w:r>
    </w:p>
    <w:p>
      <w:pPr>
        <w:pStyle w:val="Compact"/>
        <w:numPr>
          <w:ilvl w:val="0"/>
          <w:numId w:val="1020"/>
        </w:numPr>
      </w:pPr>
      <w:r>
        <w:t xml:space="preserve">ADS or other wealth products experience net outflows</w:t>
      </w:r>
    </w:p>
    <w:p>
      <w:pPr>
        <w:pStyle w:val="Compact"/>
        <w:numPr>
          <w:ilvl w:val="0"/>
          <w:numId w:val="1020"/>
        </w:numPr>
      </w:pPr>
      <w:r>
        <w:t xml:space="preserve">ACS fees drop sharply</w:t>
      </w:r>
    </w:p>
    <w:p>
      <w:pPr>
        <w:pStyle w:val="Compact"/>
        <w:numPr>
          <w:ilvl w:val="0"/>
          <w:numId w:val="1020"/>
        </w:numPr>
      </w:pPr>
      <w:r>
        <w:t xml:space="preserve">Athene’s core spread remains weak because of funding costs or excess liquidity</w:t>
      </w:r>
    </w:p>
    <w:p>
      <w:pPr>
        <w:pStyle w:val="Compact"/>
        <w:numPr>
          <w:ilvl w:val="0"/>
          <w:numId w:val="1020"/>
        </w:numPr>
      </w:pPr>
      <w:r>
        <w:t xml:space="preserve">Credit impairments or valuation markdowns emerge</w:t>
      </w:r>
    </w:p>
    <w:p>
      <w:pPr>
        <w:pStyle w:val="Compact"/>
        <w:numPr>
          <w:ilvl w:val="0"/>
          <w:numId w:val="1020"/>
        </w:numPr>
      </w:pPr>
      <w:r>
        <w:t xml:space="preserve">Management qualifies or lowers the 10% SRE growth target</w:t>
      </w:r>
    </w:p>
    <w:p>
      <w:r>
        <w:pict>
          <v:rect style="width:0;height:1.5pt" o:hralign="center" o:hrstd="t" o:hr="t"/>
        </w:pict>
      </w:r>
    </w:p>
    <w:bookmarkEnd w:id="26"/>
    <w:bookmarkEnd w:id="27"/>
    <w:bookmarkStart w:id="28" w:name="questions-for-the-call"/>
    <w:p>
      <w:pPr>
        <w:pStyle w:val="Heading2"/>
      </w:pPr>
      <w:r>
        <w:t xml:space="preserve">Questions for the call</w:t>
      </w:r>
    </w:p>
    <w:p>
      <w:pPr>
        <w:pStyle w:val="Compact"/>
        <w:numPr>
          <w:ilvl w:val="0"/>
          <w:numId w:val="1021"/>
        </w:numPr>
      </w:pPr>
      <w:r>
        <w:rPr>
          <w:b/>
          <w:bCs/>
        </w:rPr>
        <w:t xml:space="preserve">What was Q2 origination, and how much was investment grade?</w:t>
      </w:r>
    </w:p>
    <w:p>
      <w:pPr>
        <w:pStyle w:val="Compact"/>
        <w:numPr>
          <w:ilvl w:val="0"/>
          <w:numId w:val="1021"/>
        </w:numPr>
      </w:pPr>
      <w:r>
        <w:rPr>
          <w:b/>
          <w:bCs/>
        </w:rPr>
        <w:t xml:space="preserve">How much excess spread did Apollo generate versus comparable public securities?</w:t>
      </w:r>
    </w:p>
    <w:p>
      <w:pPr>
        <w:pStyle w:val="Compact"/>
        <w:numPr>
          <w:ilvl w:val="0"/>
          <w:numId w:val="1021"/>
        </w:numPr>
      </w:pPr>
      <w:r>
        <w:rPr>
          <w:b/>
          <w:bCs/>
        </w:rPr>
        <w:t xml:space="preserve">What was organic capital formation after excluding PIC and other inorganic items?</w:t>
      </w:r>
    </w:p>
    <w:p>
      <w:pPr>
        <w:pStyle w:val="Compact"/>
        <w:numPr>
          <w:ilvl w:val="0"/>
          <w:numId w:val="1021"/>
        </w:numPr>
      </w:pPr>
      <w:r>
        <w:rPr>
          <w:b/>
          <w:bCs/>
        </w:rPr>
        <w:t xml:space="preserve">Did Capital Solutions fees remain above $200 million, and how repeatable is the current pipeline?</w:t>
      </w:r>
    </w:p>
    <w:p>
      <w:pPr>
        <w:pStyle w:val="Compact"/>
        <w:numPr>
          <w:ilvl w:val="0"/>
          <w:numId w:val="1021"/>
        </w:numPr>
      </w:pPr>
      <w:r>
        <w:rPr>
          <w:b/>
          <w:bCs/>
        </w:rPr>
        <w:t xml:space="preserve">What was Athene’s Q2 net spread, both reported and normalized to an 11% alternatives return?</w:t>
      </w:r>
    </w:p>
    <w:p>
      <w:pPr>
        <w:pStyle w:val="Compact"/>
        <w:numPr>
          <w:ilvl w:val="0"/>
          <w:numId w:val="1021"/>
        </w:numPr>
      </w:pPr>
      <w:r>
        <w:rPr>
          <w:b/>
          <w:bCs/>
        </w:rPr>
        <w:t xml:space="preserve">How much of Athene’s roughly $40 billion liquidity position was deployed during the quarter?</w:t>
      </w:r>
    </w:p>
    <w:p>
      <w:pPr>
        <w:pStyle w:val="Compact"/>
        <w:numPr>
          <w:ilvl w:val="0"/>
          <w:numId w:val="1021"/>
        </w:numPr>
      </w:pPr>
      <w:r>
        <w:rPr>
          <w:b/>
          <w:bCs/>
        </w:rPr>
        <w:t xml:space="preserve">What were ADS gross subscriptions, redemption requests and net flows?</w:t>
      </w:r>
    </w:p>
    <w:p>
      <w:pPr>
        <w:pStyle w:val="Compact"/>
        <w:numPr>
          <w:ilvl w:val="0"/>
          <w:numId w:val="1021"/>
        </w:numPr>
      </w:pPr>
      <w:r>
        <w:rPr>
          <w:b/>
          <w:bCs/>
        </w:rPr>
        <w:t xml:space="preserve">Have private-credit marks, nonaccruals or watch-list exposures deteriorated?</w:t>
      </w:r>
    </w:p>
    <w:p>
      <w:pPr>
        <w:pStyle w:val="Compact"/>
        <w:numPr>
          <w:ilvl w:val="0"/>
          <w:numId w:val="1021"/>
        </w:numPr>
      </w:pPr>
      <w:r>
        <w:rPr>
          <w:b/>
          <w:bCs/>
        </w:rPr>
        <w:t xml:space="preserve">How much did PIC and Bridge contribute to management fees and expenses?</w:t>
      </w:r>
    </w:p>
    <w:p>
      <w:pPr>
        <w:pStyle w:val="Compact"/>
        <w:numPr>
          <w:ilvl w:val="0"/>
          <w:numId w:val="1021"/>
        </w:numPr>
      </w:pPr>
      <w:r>
        <w:rPr>
          <w:b/>
          <w:bCs/>
        </w:rPr>
        <w:t xml:space="preserve">What alternatives return is required in the second half to achieve 10% full-year SRE growth?</w:t>
      </w:r>
    </w:p>
    <w:p>
      <w:pPr>
        <w:pStyle w:val="Compact"/>
        <w:numPr>
          <w:ilvl w:val="0"/>
          <w:numId w:val="1021"/>
        </w:numPr>
      </w:pPr>
      <w:r>
        <w:rPr>
          <w:b/>
          <w:bCs/>
        </w:rPr>
        <w:t xml:space="preserve">Is the</w:t>
      </w:r>
      <w:r>
        <w:rPr>
          <w:b/>
          <w:bCs/>
        </w:rPr>
        <w:t xml:space="preserve"> </w:t>
      </w:r>
      <m:oMath>
        <m:r>
          <m:t>300</m:t>
        </m:r>
        <m:r>
          <m:rPr>
            <m:sty m:val="p"/>
          </m:rPr>
          <m:t>–</m:t>
        </m:r>
      </m:oMath>
      <w:r>
        <w:rPr>
          <w:b/>
          <w:bCs/>
        </w:rPr>
        <w:t xml:space="preserve">400 billion full-year origination range still realistic?</w:t>
      </w:r>
    </w:p>
    <w:p>
      <w:pPr>
        <w:pStyle w:val="Compact"/>
        <w:numPr>
          <w:ilvl w:val="0"/>
          <w:numId w:val="1021"/>
        </w:numPr>
      </w:pPr>
      <w:r>
        <w:rPr>
          <w:b/>
          <w:bCs/>
        </w:rPr>
        <w:t xml:space="preserve">How is management balancing buybacks, dividends and investment in growth?</w:t>
      </w:r>
    </w:p>
    <w:p>
      <w:r>
        <w:pict>
          <v:rect style="width:0;height:1.5pt" o:hralign="center" o:hrstd="t" o:hr="t"/>
        </w:pict>
      </w:r>
    </w:p>
    <w:bookmarkEnd w:id="28"/>
    <w:bookmarkStart w:id="29" w:name="bottom-line"/>
    <w:p>
      <w:pPr>
        <w:pStyle w:val="Heading2"/>
      </w:pPr>
      <w:r>
        <w:t xml:space="preserve">Bottom line</w:t>
      </w:r>
    </w:p>
    <w:p>
      <w:pPr>
        <w:pStyle w:val="FirstParagraph"/>
      </w:pPr>
      <w:r>
        <w:t xml:space="preserve">The Q2 setup is</w:t>
      </w:r>
      <w:r>
        <w:t xml:space="preserve"> </w:t>
      </w:r>
      <w:r>
        <w:rPr>
          <w:b/>
          <w:bCs/>
        </w:rPr>
        <w:t xml:space="preserve">modestly favorable but not clean</w:t>
      </w:r>
      <w:r>
        <w:t xml:space="preserve">.</w:t>
      </w:r>
    </w:p>
    <w:p>
      <w:pPr>
        <w:pStyle w:val="BodyText"/>
      </w:pPr>
      <w:r>
        <w:t xml:space="preserve">The preannounced 9% alternatives return removes a major downside risk, Athene entered the quarter with improving retail and reinsurance volumes, and management had unusually strong conviction in the origination pipeline. APO’s relative underperformance also suggests expectations are not excessive.</w:t>
      </w:r>
    </w:p>
    <w:p>
      <w:pPr>
        <w:pStyle w:val="BodyText"/>
      </w:pPr>
      <w:r>
        <w:t xml:space="preserve">But the earnings-quality test is demanding. The market needs confirmation that Apollo’s growth is being driven by</w:t>
      </w:r>
      <w:r>
        <w:t xml:space="preserve"> </w:t>
      </w:r>
      <w:r>
        <w:rPr>
          <w:b/>
          <w:bCs/>
        </w:rPr>
        <w:t xml:space="preserve">organic fee-paying assets, repeatable origination economics and improving Athene spreads</w:t>
      </w:r>
      <w:r>
        <w:t xml:space="preserve">, rather than acquisitions, a one-time Intel-related gain or volatile investment performance.</w:t>
      </w:r>
    </w:p>
    <w:p>
      <w:pPr>
        <w:pStyle w:val="BodyText"/>
      </w:pPr>
      <w:r>
        <w:t xml:space="preserve">The most important signals will be</w:t>
      </w:r>
      <w:r>
        <w:t xml:space="preserve"> </w:t>
      </w:r>
      <w:r>
        <w:rPr>
          <w:b/>
          <w:bCs/>
        </w:rPr>
        <w:t xml:space="preserve">Q2 origination, organic inflows, Capital Solutions fees, Athene net spread and ADS redemptions</w:t>
      </w:r>
      <w:r>
        <w:t xml:space="preserve">. If those metrics are constructive and management cleanly reaffirms both full-year growth objectives, the report should support the investment thesis even if adjusted EPS is only near consensus.</w:t>
      </w:r>
    </w:p>
    <w:bookmarkEnd w:id="29"/>
    <w:bookmarkEnd w:id="3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2026-08-04T00:40:41Z</dcterms:created>
  <dcterms:modified xsi:type="dcterms:W3CDTF">2026-08-04T00:40:41Z</dcterms:modified>
</cp:coreProperties>
</file>

<file path=docProps/custom.xml><?xml version="1.0" encoding="utf-8"?>
<Properties xmlns="http://schemas.openxmlformats.org/officeDocument/2006/custom-properties" xmlns:vt="http://schemas.openxmlformats.org/officeDocument/2006/docPropsVTypes"/>
</file>