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7a41c0d5011a81a13638d9bc685c55e576d0c7f"/>
    <w:p>
      <w:pPr>
        <w:pStyle w:val="Heading1"/>
      </w:pPr>
      <w:r>
        <w:t xml:space="preserve">Apollo Global Management (NYSE: APO) —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Apollo is scheduled to report</w:t>
      </w:r>
      <w:r>
        <w:t xml:space="preserve"> </w:t>
      </w:r>
      <w:r>
        <w:rPr>
          <w:b/>
          <w:bCs/>
        </w:rPr>
        <w:t xml:space="preserve">today, Tuesday, August 4, 2026, before the U.S. market opens</w:t>
      </w:r>
      <w:r>
        <w:t xml:space="preserve">—not tomorrow. The earnings call is the</w:t>
      </w:r>
      <w:r>
        <w:t xml:space="preserve"> </w:t>
      </w:r>
      <w:r>
        <w:rPr>
          <w:b/>
          <w:bCs/>
        </w:rPr>
        <w:t xml:space="preserve">2Q26 earnings call</w:t>
      </w:r>
      <w:r>
        <w:t xml:space="preserve">.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Apollo enters 2Q with a strong core-growth setup but a more demanding debate around the quality and durability of returns in private credit and Athene’s investment portfolio. The most important development ahead of earnings is unusually helpful: Apollo</w:t>
      </w:r>
      <w:r>
        <w:t xml:space="preserve"> </w:t>
      </w:r>
      <w:r>
        <w:rPr>
          <w:b/>
          <w:bCs/>
        </w:rPr>
        <w:t xml:space="preserve">preannounced approximately $350 million of alternative net investment income</w:t>
      </w:r>
      <w:r>
        <w:t xml:space="preserve">, equivalent to a</w:t>
      </w:r>
      <w:r>
        <w:t xml:space="preserve"> </w:t>
      </w:r>
      <w:r>
        <w:rPr>
          <w:b/>
          <w:bCs/>
        </w:rPr>
        <w:t xml:space="preserve">9% annualized return</w:t>
      </w:r>
      <w:r>
        <w:t xml:space="preserve"> </w:t>
      </w:r>
      <w:r>
        <w:t xml:space="preserve">on alternative investments. That meaningfully improves on the 6% annualized alternative-return outcome in 1Q, but remains below management’s long-term</w:t>
      </w:r>
      <w:r>
        <w:t xml:space="preserve"> </w:t>
      </w:r>
      <w:r>
        <w:rPr>
          <w:b/>
          <w:bCs/>
        </w:rPr>
        <w:t xml:space="preserve">11%</w:t>
      </w:r>
      <w:r>
        <w:t xml:space="preserve"> </w:t>
      </w:r>
      <w:r>
        <w:t xml:space="preserve">assumption embedded in its 2026 outlook.</w:t>
      </w:r>
    </w:p>
    <w:p>
      <w:pPr>
        <w:pStyle w:val="BodyText"/>
      </w:pPr>
      <w:r>
        <w:t xml:space="preserve">The quarter is therefore less about whether Apollo can produce headline earnings and more about whether management can demonstrate that: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FRE growth remains on its 20%+ trajectory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capital-solutions/origination fees remain elevated;</w:t>
      </w:r>
    </w:p>
    <w:p>
      <w:pPr>
        <w:pStyle w:val="Compact"/>
        <w:numPr>
          <w:ilvl w:val="0"/>
          <w:numId w:val="1001"/>
        </w:numPr>
      </w:pPr>
      <w:r>
        <w:t xml:space="preserve">Athene’s spread-related earnings can progress despite alternatives still running below its normalized return assumption;</w:t>
      </w:r>
    </w:p>
    <w:p>
      <w:pPr>
        <w:pStyle w:val="Compact"/>
        <w:numPr>
          <w:ilvl w:val="0"/>
          <w:numId w:val="1001"/>
        </w:numPr>
      </w:pPr>
      <w:r>
        <w:t xml:space="preserve">annuity and funding-agreement flows are improving without sacrificing spreads; and</w:t>
      </w:r>
    </w:p>
    <w:p>
      <w:pPr>
        <w:pStyle w:val="Compact"/>
        <w:numPr>
          <w:ilvl w:val="0"/>
          <w:numId w:val="1001"/>
        </w:numPr>
      </w:pPr>
      <w:r>
        <w:t xml:space="preserve">Apollo’s enhanced disclosures, daily-pricing initiative, and conservative portfolio positioning are reducing—not merely explaining—private-credit and insurance-related concerns.</w:t>
      </w:r>
    </w:p>
    <w:p>
      <w:pPr>
        <w:pStyle w:val="FirstParagraph"/>
      </w:pPr>
      <w:r>
        <w:t xml:space="preserve">Street expectations heading into the release are approximately</w:t>
      </w:r>
      <w:r>
        <w:t xml:space="preserve"> </w:t>
      </w:r>
      <m:oMath>
        <m:r>
          <m:t>2.15</m:t>
        </m:r>
        <m:r>
          <m:t>o</m:t>
        </m:r>
        <m:r>
          <m:t>f</m:t>
        </m:r>
        <m:r>
          <m:t>E</m:t>
        </m:r>
        <m:r>
          <m:t>P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50.4 billion of quarterly inflows</w:t>
      </w:r>
      <w:r>
        <w:t xml:space="preserve">. Apollo’s shares closed at</w:t>
      </w:r>
      <w:r>
        <w:t xml:space="preserve"> </w:t>
      </w:r>
      <w:r>
        <w:rPr>
          <w:b/>
          <w:bCs/>
        </w:rPr>
        <w:t xml:space="preserve">$129.45 on August 3</w:t>
      </w:r>
      <w:r>
        <w:t xml:space="preserve">, recovering roughly 9.5% from the July 20 low but still about 6.8% below the mid-June high.</w:t>
      </w:r>
    </w:p>
    <w:p>
      <w:r>
        <w:pict>
          <v:rect style="width:0;height:1.5pt" o:hralign="center" o:hrstd="t" o:hr="t"/>
        </w:pict>
      </w:r>
    </w:p>
    <w:bookmarkEnd w:id="9"/>
    <w:bookmarkStart w:id="10" w:name="what-matters-most-this-quarter"/>
    <w:p>
      <w:pPr>
        <w:pStyle w:val="Heading2"/>
      </w:pPr>
      <w:r>
        <w:t xml:space="preserve">What matters most this quarter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Key item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actual</w:t>
            </w:r>
          </w:p>
        </w:tc>
        <w:tc>
          <w:tcPr/>
          <w:p>
            <w:pPr>
              <w:pStyle w:val="Compact"/>
            </w:pPr>
            <w:r>
              <w:t xml:space="preserve">2Q26 setup / investor focus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Fee-related earnings (FRE)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$728M / $1.17 per share</w:t>
            </w:r>
          </w:p>
        </w:tc>
        <w:tc>
          <w:tcPr/>
          <w:p>
            <w:pPr>
              <w:pStyle w:val="Compact"/>
            </w:pPr>
            <w:r>
              <w:t xml:space="preserve">Execution against</w:t>
            </w:r>
            <w:r>
              <w:t xml:space="preserve"> </w:t>
            </w:r>
            <w:r>
              <w:rPr>
                <w:b/>
                <w:bCs/>
              </w:rPr>
              <w:t xml:space="preserve">20%+ 2026 FRE growth</w:t>
            </w:r>
            <w:r>
              <w:t xml:space="preserve"> </w:t>
            </w:r>
            <w:r>
              <w:t xml:space="preserve">outlook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Spread-related earnings (SRE)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$719M / $1.15 per share</w:t>
            </w:r>
          </w:p>
        </w:tc>
        <w:tc>
          <w:tcPr/>
          <w:p>
            <w:pPr>
              <w:pStyle w:val="Compact"/>
            </w:pPr>
            <w:r>
              <w:t xml:space="preserve">Effect of the 9% alternative-return preannouncement, net-spread progression, and Athene flows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net income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$1.2B / $1.94 per share</w:t>
            </w:r>
          </w:p>
        </w:tc>
        <w:tc>
          <w:tcPr/>
          <w:p>
            <w:pPr>
              <w:pStyle w:val="Compact"/>
            </w:pPr>
            <w:r>
              <w:t xml:space="preserve">Comparison with Street EPS expectation of ~$2.15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Alternative net investment income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6% annualized return in 1Q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$350M / 9% annualized return</w:t>
            </w:r>
            <w:r>
              <w:t xml:space="preserve"> </w:t>
            </w:r>
            <w:r>
              <w:t xml:space="preserve">preannounced for 2Q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capital formation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$50B in 1Q</w:t>
            </w:r>
          </w:p>
        </w:tc>
        <w:tc>
          <w:tcPr/>
          <w:p>
            <w:pPr>
              <w:pStyle w:val="Compact"/>
            </w:pPr>
            <w:r>
              <w:t xml:space="preserve">Street expects ~$50.4B total quarterly inflows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Origination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$71B in 1Q</w:t>
            </w:r>
          </w:p>
        </w:tc>
        <w:tc>
          <w:tcPr/>
          <w:p>
            <w:pPr>
              <w:pStyle w:val="Compact"/>
            </w:pPr>
            <w:r>
              <w:t xml:space="preserve">Management said 2Q could be stronger, potentially approaching the $97B record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$1.03T at March 31</w:t>
            </w:r>
          </w:p>
        </w:tc>
        <w:tc>
          <w:tcPr/>
          <w:p>
            <w:pPr>
              <w:pStyle w:val="Compact"/>
            </w:pPr>
            <w:r>
              <w:t xml:space="preserve">Whether Apollo sustains high organic asset gathering after crossing $1T</w:t>
            </w:r>
          </w:p>
        </w:tc>
      </w:tr>
    </w:tbl>
    <w:p>
      <w:pPr>
        <w:pStyle w:val="BodyText"/>
      </w:pPr>
      <w:r>
        <w:rPr>
          <w:i/>
          <w:iCs/>
        </w:rPr>
        <w:t xml:space="preserve">Source: Apollo’s 1Q26 earnings release, 1Q26 earnings-call transcript, July 1 preliminary 2Q alternative-income filing, and market-news consensus digest.</w:t>
      </w:r>
    </w:p>
    <w:p>
      <w:r>
        <w:pict>
          <v:rect style="width:0;height:1.5pt" o:hralign="center" o:hrstd="t" o:hr="t"/>
        </w:pict>
      </w:r>
    </w:p>
    <w:bookmarkEnd w:id="10"/>
    <w:bookmarkStart w:id="13" w:name="Xff6f71ba661adf1e62c050fbd66c75aeda66119"/>
    <w:p>
      <w:pPr>
        <w:pStyle w:val="Heading2"/>
      </w:pPr>
      <w:r>
        <w:t xml:space="preserve">1. The core swing factor: alternative-investment returns are improving, but still below plan</w:t>
      </w:r>
    </w:p>
    <w:p>
      <w:pPr>
        <w:pStyle w:val="FirstParagraph"/>
      </w:pPr>
      <w:r>
        <w:t xml:space="preserve">Apollo preannounced</w:t>
      </w:r>
      <w:r>
        <w:t xml:space="preserve"> </w:t>
      </w:r>
      <w:r>
        <w:rPr>
          <w:b/>
          <w:bCs/>
        </w:rPr>
        <w:t xml:space="preserve">approximately $350 million of alternative net investment income</w:t>
      </w:r>
      <w:r>
        <w:t xml:space="preserve"> </w:t>
      </w:r>
      <w:r>
        <w:t xml:space="preserve">for 2Q, implying a</w:t>
      </w:r>
      <w:r>
        <w:t xml:space="preserve"> </w:t>
      </w:r>
      <w:r>
        <w:rPr>
          <w:b/>
          <w:bCs/>
        </w:rPr>
        <w:t xml:space="preserve">9% annualized return</w:t>
      </w:r>
      <w:r>
        <w:t xml:space="preserve">. The figure is important for Athene and therefore for SRE.</w:t>
      </w:r>
    </w:p>
    <w:bookmarkStart w:id="11" w:name="why-the-preannouncement-is-constructive"/>
    <w:p>
      <w:pPr>
        <w:pStyle w:val="Heading3"/>
      </w:pPr>
      <w:r>
        <w:t xml:space="preserve">Why the preannouncement is constructive</w:t>
      </w:r>
    </w:p>
    <w:p>
      <w:pPr>
        <w:pStyle w:val="Compact"/>
        <w:numPr>
          <w:ilvl w:val="0"/>
          <w:numId w:val="1002"/>
        </w:numPr>
      </w:pPr>
      <w:r>
        <w:t xml:space="preserve">It represents a clear improvement from the</w:t>
      </w:r>
      <w:r>
        <w:t xml:space="preserve"> </w:t>
      </w:r>
      <w:r>
        <w:rPr>
          <w:b/>
          <w:bCs/>
        </w:rPr>
        <w:t xml:space="preserve">6% annualized return</w:t>
      </w:r>
      <w:r>
        <w:t xml:space="preserve"> </w:t>
      </w:r>
      <w:r>
        <w:t xml:space="preserve">reported in 1Q.</w:t>
      </w:r>
    </w:p>
    <w:p>
      <w:pPr>
        <w:pStyle w:val="Compact"/>
        <w:numPr>
          <w:ilvl w:val="0"/>
          <w:numId w:val="1002"/>
        </w:numPr>
      </w:pPr>
      <w:r>
        <w:t xml:space="preserve">Management characterized 1Q’s 6% outcome as resilient against a weak public-market backdrop, but it was still below its long-term return assumption.</w:t>
      </w:r>
    </w:p>
    <w:p>
      <w:pPr>
        <w:pStyle w:val="Compact"/>
        <w:numPr>
          <w:ilvl w:val="0"/>
          <w:numId w:val="1002"/>
        </w:numPr>
      </w:pPr>
      <w:r>
        <w:t xml:space="preserve">A move from 6% to 9% should provide a meaningful sequential lift to SRE, all else equal.</w:t>
      </w:r>
    </w:p>
    <w:p>
      <w:pPr>
        <w:pStyle w:val="Compact"/>
        <w:numPr>
          <w:ilvl w:val="0"/>
          <w:numId w:val="1002"/>
        </w:numPr>
      </w:pPr>
      <w:r>
        <w:t xml:space="preserve">The 9% outcome is especially relevant because it includes an estimated</w:t>
      </w:r>
      <w:r>
        <w:t xml:space="preserve"> </w:t>
      </w:r>
      <w:r>
        <w:rPr>
          <w:b/>
          <w:bCs/>
        </w:rPr>
        <w:t xml:space="preserve">10% annualized return</w:t>
      </w:r>
      <w:r>
        <w:t xml:space="preserve"> </w:t>
      </w:r>
      <w:r>
        <w:t xml:space="preserve">in Athene’s primary pooled vehicle, which holds the large majority of its alternatives portfolio.</w:t>
      </w:r>
    </w:p>
    <w:bookmarkEnd w:id="11"/>
    <w:bookmarkStart w:id="12" w:name="why-it-is-not-a-complete-all-clear"/>
    <w:p>
      <w:pPr>
        <w:pStyle w:val="Heading3"/>
      </w:pPr>
      <w:r>
        <w:t xml:space="preserve">Why it is not a complete all-clear</w:t>
      </w:r>
    </w:p>
    <w:p>
      <w:pPr>
        <w:pStyle w:val="FirstParagraph"/>
      </w:pPr>
      <w:r>
        <w:t xml:space="preserve">Apollo’s 2026 SRE growth outlook assumes an</w:t>
      </w:r>
      <w:r>
        <w:t xml:space="preserve"> </w:t>
      </w:r>
      <w:r>
        <w:rPr>
          <w:b/>
          <w:bCs/>
        </w:rPr>
        <w:t xml:space="preserve">11%</w:t>
      </w:r>
      <w:r>
        <w:t xml:space="preserve"> </w:t>
      </w:r>
      <w:r>
        <w:t xml:space="preserve">alternative-investment return. Thus, 9% remains two percentage points below the planning assumption. In 1Q, management said SRE would have been</w:t>
      </w:r>
      <w:r>
        <w:t xml:space="preserve"> </w:t>
      </w:r>
      <m:oMath>
        <m:r>
          <m:t>907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t</m:t>
        </m:r>
        <m:r>
          <m:t>a</m:t>
        </m:r>
        <m:r>
          <m:t>n</m:t>
        </m:r>
        <m:r>
          <m:t>11</m:t>
        </m:r>
      </m:oMath>
      <w:r>
        <w:rPr>
          <w:b/>
          <w:bCs/>
        </w:rPr>
        <w:t xml:space="preserve">719 million</w:t>
      </w:r>
      <w:r>
        <w:t xml:space="preserve">. That framing suggests alternatives remain the largest near-term variable in the earnings bridge.</w:t>
      </w:r>
    </w:p>
    <w:p>
      <w:pPr>
        <w:pStyle w:val="BodyText"/>
      </w:pPr>
      <w:r>
        <w:t xml:space="preserve">The key issue for investors is whether management treats 9% as:</w:t>
      </w:r>
    </w:p>
    <w:p>
      <w:pPr>
        <w:pStyle w:val="Compact"/>
        <w:numPr>
          <w:ilvl w:val="0"/>
          <w:numId w:val="1003"/>
        </w:numPr>
      </w:pPr>
      <w:r>
        <w:t xml:space="preserve">a normal quarterly fluctuation around an intact 11% long-run assumption, or</w:t>
      </w:r>
    </w:p>
    <w:p>
      <w:pPr>
        <w:pStyle w:val="Compact"/>
        <w:numPr>
          <w:ilvl w:val="0"/>
          <w:numId w:val="1003"/>
        </w:numPr>
      </w:pPr>
      <w:r>
        <w:t xml:space="preserve">evidence of a more muted near-term return environment that requires stronger spread, volume, or fee revenue to preserve the 2026 SRE-growth target.</w:t>
      </w:r>
    </w:p>
    <w:p>
      <w:pPr>
        <w:pStyle w:val="FirstParagraph"/>
      </w:pPr>
      <w:r>
        <w:rPr>
          <w:b/>
          <w:bCs/>
        </w:rPr>
        <w:t xml:space="preserve">What to listen for:</w:t>
      </w:r>
      <w:r>
        <w:t xml:space="preserve"> </w:t>
      </w:r>
      <w:r>
        <w:t xml:space="preserve">commentary on the second-half alternative-return outlook, performance of Athene’s major pooled vehicle, and any updated sensitivity around the 11% assumption.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4" w:name="X6d121399a0999fc379374f46f0513ec87d74651"/>
    <w:p>
      <w:pPr>
        <w:pStyle w:val="Heading2"/>
      </w:pPr>
      <w:r>
        <w:t xml:space="preserve">2. FRE and capital-solutions fees should be the cleanest measure of execution</w:t>
      </w:r>
    </w:p>
    <w:p>
      <w:pPr>
        <w:pStyle w:val="FirstParagraph"/>
      </w:pPr>
      <w:r>
        <w:t xml:space="preserve">Apollo’s first-quarter FRE was a record</w:t>
      </w:r>
      <w:r>
        <w:t xml:space="preserve"> </w:t>
      </w:r>
      <w:r>
        <w:rPr>
          <w:b/>
          <w:bCs/>
        </w:rPr>
        <w:t xml:space="preserve">$728 million</w:t>
      </w:r>
      <w:r>
        <w:t xml:space="preserve">, up 30% year over year and 6% sequentially. The company reaffirmed its goal of</w:t>
      </w:r>
      <w:r>
        <w:t xml:space="preserve"> </w:t>
      </w:r>
      <w:r>
        <w:rPr>
          <w:b/>
          <w:bCs/>
        </w:rPr>
        <w:t xml:space="preserve">20%+ FRE growth in 2026</w:t>
      </w:r>
      <w:r>
        <w:t xml:space="preserve">, supported by inflows, deployment, Athene-related fee growth, and capital-solutions activity.</w:t>
      </w:r>
    </w:p>
    <w:p>
      <w:pPr>
        <w:pStyle w:val="BodyText"/>
      </w:pPr>
      <w:r>
        <w:t xml:space="preserve">The highest-quality confirmation of that outlook would be another strong quarter of</w:t>
      </w:r>
      <w:r>
        <w:t xml:space="preserve"> </w:t>
      </w:r>
      <w:r>
        <w:rPr>
          <w:b/>
          <w:bCs/>
        </w:rPr>
        <w:t xml:space="preserve">Apollo Capital Solutions (ACS)</w:t>
      </w:r>
      <w:r>
        <w:t xml:space="preserve"> </w:t>
      </w:r>
      <w:r>
        <w:t xml:space="preserve">fees. In 1Q, ACS fees were</w:t>
      </w:r>
      <w:r>
        <w:t xml:space="preserve"> </w:t>
      </w:r>
      <w:r>
        <w:rPr>
          <w:b/>
          <w:bCs/>
        </w:rPr>
        <w:t xml:space="preserve">$246 million</w:t>
      </w:r>
      <w:r>
        <w:t xml:space="preserve">, Apollo’s fourth consecutive quarter above $200 million. Management has emphasized that these fees reflect not simply volume but the quality of proprietary, often complex originations where Apollo is acting as a principal capital provider or structurer rather than merely participating in commoditized financing.</w:t>
      </w:r>
    </w:p>
    <w:p>
      <w:pPr>
        <w:pStyle w:val="BodyText"/>
      </w:pPr>
      <w:r>
        <w:t xml:space="preserve">The setup appears favorable:</w:t>
      </w:r>
    </w:p>
    <w:p>
      <w:pPr>
        <w:pStyle w:val="Compact"/>
        <w:numPr>
          <w:ilvl w:val="0"/>
          <w:numId w:val="1004"/>
        </w:numPr>
      </w:pPr>
      <w:r>
        <w:t xml:space="preserve">Management said 2Q origination could exceed 1Q’s</w:t>
      </w:r>
      <w:r>
        <w:t xml:space="preserve"> </w:t>
      </w:r>
      <m:oMath>
        <m:r>
          <m:t>71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p</m:t>
        </m:r>
        <m:r>
          <m:t>o</m:t>
        </m:r>
        <m:r>
          <m:t>t</m:t>
        </m:r>
        <m:r>
          <m:t>e</m:t>
        </m:r>
        <m:r>
          <m:t>n</m:t>
        </m:r>
        <m:r>
          <m:t>t</m:t>
        </m:r>
        <m:r>
          <m:t>i</m:t>
        </m:r>
        <m:r>
          <m:t>a</m:t>
        </m:r>
        <m:r>
          <m:t>l</m:t>
        </m:r>
        <m:r>
          <m:t>l</m:t>
        </m:r>
        <m:r>
          <m:t>y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a</m:t>
        </m:r>
        <m:r>
          <m:t>c</m:t>
        </m:r>
        <m:r>
          <m:t>h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rPr>
            <m:sty m:val="p"/>
          </m:rPr>
          <m:t>’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97 billion</w:t>
      </w:r>
      <w:r>
        <w:t xml:space="preserve"> </w:t>
      </w:r>
      <w:r>
        <w:t xml:space="preserve">record quarter.</w:t>
      </w:r>
    </w:p>
    <w:p>
      <w:pPr>
        <w:pStyle w:val="Compact"/>
        <w:numPr>
          <w:ilvl w:val="0"/>
          <w:numId w:val="1004"/>
        </w:numPr>
      </w:pPr>
      <w:r>
        <w:t xml:space="preserve">The reported pipeline spans investment-grade private credit, hybrid capital, asset-backed finance, AI and data-center infrastructure, energy, defense, industrial investment, and broader infrastructure.</w:t>
      </w:r>
    </w:p>
    <w:p>
      <w:pPr>
        <w:pStyle w:val="Compact"/>
        <w:numPr>
          <w:ilvl w:val="0"/>
          <w:numId w:val="1004"/>
        </w:numPr>
      </w:pPr>
      <w:r>
        <w:t xml:space="preserve">The contribution from Athora’s acquisition of Pension Insurance Corporation is expected to begin in 2Q at an initial annualized fee rate of roughly</w:t>
      </w:r>
      <w:r>
        <w:t xml:space="preserve"> </w:t>
      </w:r>
      <w:r>
        <w:rPr>
          <w:b/>
          <w:bCs/>
        </w:rPr>
        <w:t xml:space="preserve">20 basis points</w:t>
      </w:r>
      <w:r>
        <w:t xml:space="preserve">, with potential to increase as the acquired balance sheet is repositioned.</w:t>
      </w:r>
    </w:p>
    <w:p>
      <w:pPr>
        <w:pStyle w:val="FirstParagraph"/>
      </w:pPr>
      <w:r>
        <w:rPr>
          <w:b/>
          <w:bCs/>
        </w:rPr>
        <w:t xml:space="preserve">Investor read-through:</w:t>
      </w:r>
      <w:r>
        <w:t xml:space="preserve"> </w:t>
      </w:r>
      <w:r>
        <w:t xml:space="preserve">Strong ACS fees and FRE would validate Apollo’s differentiated “origination first” model and help offset concerns about near-term alternative-investment marks.</w:t>
      </w:r>
    </w:p>
    <w:p>
      <w:r>
        <w:pict>
          <v:rect style="width:0;height:1.5pt" o:hralign="center" o:hrstd="t" o:hr="t"/>
        </w:pict>
      </w:r>
    </w:p>
    <w:bookmarkEnd w:id="14"/>
    <w:bookmarkStart w:id="15" w:name="Xa796c6d859a930da3b5e266f192e9e6139ea8c8"/>
    <w:p>
      <w:pPr>
        <w:pStyle w:val="Heading2"/>
      </w:pPr>
      <w:r>
        <w:t xml:space="preserve">3. Athene: spread stabilization and liability growth matter as much as alternative returns</w:t>
      </w:r>
    </w:p>
    <w:p>
      <w:pPr>
        <w:pStyle w:val="FirstParagraph"/>
      </w:pPr>
      <w:r>
        <w:t xml:space="preserve">At Athene, the key operating question is whether Apollo can maintain attractive returns while growing liabilities selectively. In 1Q, Athene generated</w:t>
      </w:r>
      <w:r>
        <w:t xml:space="preserve"> </w:t>
      </w:r>
      <w:r>
        <w:rPr>
          <w:b/>
          <w:bCs/>
        </w:rPr>
        <w:t xml:space="preserve">$719 million of SRE</w:t>
      </w:r>
      <w:r>
        <w:t xml:space="preserve"> </w:t>
      </w:r>
      <w:r>
        <w:t xml:space="preserve">and management continued to target</w:t>
      </w:r>
      <w:r>
        <w:t xml:space="preserve"> </w:t>
      </w:r>
      <w:r>
        <w:rPr>
          <w:b/>
          <w:bCs/>
        </w:rPr>
        <w:t xml:space="preserve">10% SRE growth for 2026</w:t>
      </w:r>
      <w:r>
        <w:t xml:space="preserve">, assuming 11% alternative returns.</w:t>
      </w:r>
    </w:p>
    <w:p>
      <w:pPr>
        <w:pStyle w:val="BodyText"/>
      </w:pPr>
      <w:r>
        <w:t xml:space="preserve">Management’s stated 2026 net-spread range is</w:t>
      </w:r>
      <w:r>
        <w:t xml:space="preserve"> </w:t>
      </w:r>
      <w:r>
        <w:rPr>
          <w:b/>
          <w:bCs/>
        </w:rPr>
        <w:t xml:space="preserve">120–125 basis points</w:t>
      </w:r>
      <w:r>
        <w:t xml:space="preserve">, assuming the 11% alternatives return. In 1Q, reported blended net spread was 97 basis points; management said it would have been 25 basis points higher under the normalized 11% alternative-return assumption.</w:t>
      </w:r>
    </w:p>
    <w:p>
      <w:pPr>
        <w:pStyle w:val="BodyText"/>
      </w:pPr>
      <w:r>
        <w:t xml:space="preserve">For 2Q, investors should focus on: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Net spread:</w:t>
      </w:r>
      <w:r>
        <w:t xml:space="preserve"> </w:t>
      </w:r>
      <w:r>
        <w:t xml:space="preserve">Is the business moving toward the 120–125 bp target range?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Retail annuity volumes:</w:t>
      </w:r>
      <w:r>
        <w:t xml:space="preserve"> </w:t>
      </w:r>
      <w:r>
        <w:t xml:space="preserve">Competition was intense in 1Q, and Apollo chose not to chase low-spread business. Management said April improved, so 2Q should show whether conditions genuinely normalized.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Funding agreements:</w:t>
      </w:r>
      <w:r>
        <w:t xml:space="preserve"> </w:t>
      </w:r>
      <w:r>
        <w:t xml:space="preserve">Apollo did no public funding agreements in 1Q because spreads were unattractive, instead using private funding agreements. A return to more attractive public issuance would be constructive.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New-markets growth:</w:t>
      </w:r>
      <w:r>
        <w:t xml:space="preserve"> </w:t>
      </w:r>
      <w:r>
        <w:t xml:space="preserve">Management expects Athene’s newer liability channels—such as stable value and structured settlements—to become a more material source of organic growth over time.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Cash deployment:</w:t>
      </w:r>
      <w:r>
        <w:t xml:space="preserve"> </w:t>
      </w:r>
      <w:r>
        <w:t xml:space="preserve">Athene carried roughly $40 billion of cash, Treasuries, and agency securities at the end of 1Q. Investors will want evidence that Apollo can deploy this liquidity into high-quality originated assets at adequate spreads.</w:t>
      </w:r>
    </w:p>
    <w:p>
      <w:r>
        <w:pict>
          <v:rect style="width:0;height:1.5pt" o:hralign="center" o:hrstd="t" o:hr="t"/>
        </w:pict>
      </w:r>
    </w:p>
    <w:bookmarkEnd w:id="15"/>
    <w:bookmarkStart w:id="16" w:name="X64ffe702b1d5eed05678234eabd3ec50a06266b"/>
    <w:p>
      <w:pPr>
        <w:pStyle w:val="Heading2"/>
      </w:pPr>
      <w:r>
        <w:t xml:space="preserve">4. A potentially meaningful GAAP item: the AP Grange gain</w:t>
      </w:r>
    </w:p>
    <w:p>
      <w:pPr>
        <w:pStyle w:val="FirstParagraph"/>
      </w:pPr>
      <w:r>
        <w:t xml:space="preserve">Apollo’s 1Q 10-Q disclosed that</w:t>
      </w:r>
      <w:r>
        <w:t xml:space="preserve"> </w:t>
      </w:r>
      <w:r>
        <w:rPr>
          <w:b/>
          <w:bCs/>
        </w:rPr>
        <w:t xml:space="preserve">AP Grange called its ABS debt during 2Q</w:t>
      </w:r>
      <w:r>
        <w:t xml:space="preserve">, and that Athene expects to recognize a</w:t>
      </w:r>
      <w:r>
        <w:t xml:space="preserve"> </w:t>
      </w:r>
      <w:r>
        <w:rPr>
          <w:b/>
          <w:bCs/>
        </w:rPr>
        <w:t xml:space="preserve">$673 million gain</w:t>
      </w:r>
      <w:r>
        <w:t xml:space="preserve"> </w:t>
      </w:r>
      <w:r>
        <w:t xml:space="preserve">in the second quarter.</w:t>
      </w:r>
    </w:p>
    <w:p>
      <w:pPr>
        <w:pStyle w:val="BodyText"/>
      </w:pPr>
      <w:r>
        <w:t xml:space="preserve">This item could materially benefit GAAP earnings, but investors should separate it from recurring operating performance:</w:t>
      </w:r>
    </w:p>
    <w:p>
      <w:pPr>
        <w:pStyle w:val="Compact"/>
        <w:numPr>
          <w:ilvl w:val="0"/>
          <w:numId w:val="1006"/>
        </w:numPr>
      </w:pPr>
      <w:r>
        <w:t xml:space="preserve">It may create a favorable headline-income comparison.</w:t>
      </w:r>
    </w:p>
    <w:p>
      <w:pPr>
        <w:pStyle w:val="Compact"/>
        <w:numPr>
          <w:ilvl w:val="0"/>
          <w:numId w:val="1006"/>
        </w:numPr>
      </w:pPr>
      <w:r>
        <w:t xml:space="preserve">It is not necessarily representative of run-rate FRE or SRE.</w:t>
      </w:r>
    </w:p>
    <w:p>
      <w:pPr>
        <w:pStyle w:val="Compact"/>
        <w:numPr>
          <w:ilvl w:val="0"/>
          <w:numId w:val="1006"/>
        </w:numPr>
      </w:pPr>
      <w:r>
        <w:t xml:space="preserve">Management’s treatment of the gain—particularly whether it is reflected in the company’s preferred operating measures—will matter for assessing its practical earnings impact.</w:t>
      </w:r>
    </w:p>
    <w:p>
      <w:pPr>
        <w:pStyle w:val="FirstParagraph"/>
      </w:pPr>
      <w:r>
        <w:t xml:space="preserve">The more valuable outcome would be a strong underlying quarter</w:t>
      </w:r>
      <w:r>
        <w:t xml:space="preserve"> </w:t>
      </w:r>
      <w:r>
        <w:rPr>
          <w:b/>
          <w:bCs/>
        </w:rPr>
        <w:t xml:space="preserve">in addition to</w:t>
      </w:r>
      <w:r>
        <w:t xml:space="preserve">, rather than dependent on, this realized gain.</w:t>
      </w:r>
    </w:p>
    <w:p>
      <w:r>
        <w:pict>
          <v:rect style="width:0;height:1.5pt" o:hralign="center" o:hrstd="t" o:hr="t"/>
        </w:pict>
      </w:r>
    </w:p>
    <w:bookmarkEnd w:id="16"/>
    <w:bookmarkStart w:id="17" w:name="Xad6cbf0b05699c31ba6c97e14fb05409ae06811"/>
    <w:p>
      <w:pPr>
        <w:pStyle w:val="Heading2"/>
      </w:pPr>
      <w:r>
        <w:t xml:space="preserve">5. Private-credit scrutiny remains the central narrative risk</w:t>
      </w:r>
    </w:p>
    <w:p>
      <w:pPr>
        <w:pStyle w:val="FirstParagraph"/>
      </w:pPr>
      <w:r>
        <w:t xml:space="preserve">Apollo has taken an unusually assertive posture in response to private-credit concerns. In 1Q, management emphasized that its strategy is heavily weighted toward investment-grade origination, structured credit, asset-backed finance, and senior positions—not the smaller-company, highly levered, software-heavy direct lending exposures that have driven much of the market debate.</w:t>
      </w:r>
    </w:p>
    <w:p>
      <w:pPr>
        <w:pStyle w:val="BodyText"/>
      </w:pPr>
      <w:r>
        <w:t xml:space="preserve">Apollo’s defenses include: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95% fixed-income portfolio</w:t>
      </w:r>
      <w:r>
        <w:t xml:space="preserve"> </w:t>
      </w:r>
      <w:r>
        <w:t xml:space="preserve">at Athene, with</w:t>
      </w:r>
      <w:r>
        <w:t xml:space="preserve"> </w:t>
      </w:r>
      <w:r>
        <w:rPr>
          <w:b/>
          <w:bCs/>
        </w:rPr>
        <w:t xml:space="preserve">90% investment grade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only</w:t>
      </w:r>
      <w:r>
        <w:t xml:space="preserve"> </w:t>
      </w:r>
      <w:r>
        <w:rPr>
          <w:b/>
          <w:bCs/>
        </w:rPr>
        <w:t xml:space="preserve">0.4%</w:t>
      </w:r>
      <w:r>
        <w:t xml:space="preserve"> </w:t>
      </w:r>
      <w:r>
        <w:t xml:space="preserve">exposure to levered lending and</w:t>
      </w:r>
      <w:r>
        <w:t xml:space="preserve"> </w:t>
      </w:r>
      <w:r>
        <w:rPr>
          <w:b/>
          <w:bCs/>
        </w:rPr>
        <w:t xml:space="preserve">0.1%</w:t>
      </w:r>
      <w:r>
        <w:t xml:space="preserve"> </w:t>
      </w:r>
      <w:r>
        <w:t xml:space="preserve">exposure to software, according to management’s 1Q comments;</w:t>
      </w:r>
    </w:p>
    <w:p>
      <w:pPr>
        <w:pStyle w:val="Compact"/>
        <w:numPr>
          <w:ilvl w:val="0"/>
          <w:numId w:val="1007"/>
        </w:numPr>
      </w:pPr>
      <w:r>
        <w:t xml:space="preserve">reduced CLO exposure, with management expecting normal repayments to continue lowering the book;</w:t>
      </w:r>
    </w:p>
    <w:p>
      <w:pPr>
        <w:pStyle w:val="Compact"/>
        <w:numPr>
          <w:ilvl w:val="0"/>
          <w:numId w:val="1007"/>
        </w:numPr>
      </w:pPr>
      <w:r>
        <w:t xml:space="preserve">growing use of</w:t>
      </w:r>
      <w:r>
        <w:t xml:space="preserve"> </w:t>
      </w:r>
      <w:r>
        <w:rPr>
          <w:b/>
          <w:bCs/>
        </w:rPr>
        <w:t xml:space="preserve">AMAPS</w:t>
      </w:r>
      <w:r>
        <w:t xml:space="preserve">, an Apollo structured-credit product intended to replace some CLO exposure while preserving spread; and</w:t>
      </w:r>
    </w:p>
    <w:p>
      <w:pPr>
        <w:pStyle w:val="Compact"/>
        <w:numPr>
          <w:ilvl w:val="0"/>
          <w:numId w:val="1007"/>
        </w:numPr>
      </w:pPr>
      <w:r>
        <w:t xml:space="preserve">a plan to provide</w:t>
      </w:r>
      <w:r>
        <w:t xml:space="preserve"> </w:t>
      </w:r>
      <w:r>
        <w:rPr>
          <w:b/>
          <w:bCs/>
        </w:rPr>
        <w:t xml:space="preserve">daily pricing</w:t>
      </w:r>
      <w:r>
        <w:t xml:space="preserve"> </w:t>
      </w:r>
      <w:r>
        <w:t xml:space="preserve">across its corporate investment-grade credit business and, later in the morning, across the broader credit platform.</w:t>
      </w:r>
    </w:p>
    <w:p>
      <w:pPr>
        <w:pStyle w:val="FirstParagraph"/>
      </w:pPr>
      <w:r>
        <w:t xml:space="preserve">These points can help support the franchise, but they also raise the standard for the quarter: investors will expect quantitative evidence that credit quality, realized losses, marks, redemption behavior, and Athene liquidity remain benign.</w:t>
      </w:r>
    </w:p>
    <w:p>
      <w:pPr>
        <w:pStyle w:val="BodyText"/>
      </w:pPr>
      <w:r>
        <w:rPr>
          <w:b/>
          <w:bCs/>
        </w:rPr>
        <w:t xml:space="preserve">Watch items</w:t>
      </w:r>
    </w:p>
    <w:p>
      <w:pPr>
        <w:pStyle w:val="Compact"/>
        <w:numPr>
          <w:ilvl w:val="0"/>
          <w:numId w:val="1008"/>
        </w:numPr>
      </w:pPr>
      <w:r>
        <w:t xml:space="preserve">Any impairment, loss, or adverse marks in Athene alternatives;</w:t>
      </w:r>
    </w:p>
    <w:p>
      <w:pPr>
        <w:pStyle w:val="Compact"/>
        <w:numPr>
          <w:ilvl w:val="0"/>
          <w:numId w:val="1008"/>
        </w:numPr>
      </w:pPr>
      <w:r>
        <w:t xml:space="preserve">direct-lending or BDC redemption trends;</w:t>
      </w:r>
    </w:p>
    <w:p>
      <w:pPr>
        <w:pStyle w:val="Compact"/>
        <w:numPr>
          <w:ilvl w:val="0"/>
          <w:numId w:val="1008"/>
        </w:numPr>
      </w:pPr>
      <w:r>
        <w:t xml:space="preserve">changes in capital charges or insurance-regulatory commentary;</w:t>
      </w:r>
    </w:p>
    <w:p>
      <w:pPr>
        <w:pStyle w:val="Compact"/>
        <w:numPr>
          <w:ilvl w:val="0"/>
          <w:numId w:val="1008"/>
        </w:numPr>
      </w:pPr>
      <w:r>
        <w:t xml:space="preserve">updated disclosure around related-party or Apollo-originated assets;</w:t>
      </w:r>
    </w:p>
    <w:p>
      <w:pPr>
        <w:pStyle w:val="Compact"/>
        <w:numPr>
          <w:ilvl w:val="0"/>
          <w:numId w:val="1008"/>
        </w:numPr>
      </w:pPr>
      <w:r>
        <w:t xml:space="preserve">realized versus unrealized performance and any material divergence between them.</w:t>
      </w:r>
    </w:p>
    <w:p>
      <w:r>
        <w:pict>
          <v:rect style="width:0;height:1.5pt" o:hralign="center" o:hrstd="t" o:hr="t"/>
        </w:pict>
      </w:r>
    </w:p>
    <w:bookmarkEnd w:id="17"/>
    <w:bookmarkStart w:id="18" w:name="X4c4c585ae5770101c592562c36c59d64b58e5b3"/>
    <w:p>
      <w:pPr>
        <w:pStyle w:val="Heading2"/>
      </w:pPr>
      <w:r>
        <w:t xml:space="preserve">6. Capital formation: can Apollo sustain institutional and wealth-channel momentum?</w:t>
      </w:r>
    </w:p>
    <w:p>
      <w:pPr>
        <w:pStyle w:val="FirstParagraph"/>
      </w:pPr>
      <w:r>
        <w:t xml:space="preserve">First-quarter total inflows were</w:t>
      </w:r>
      <w:r>
        <w:t xml:space="preserve"> </w:t>
      </w:r>
      <m:oMath>
        <m:r>
          <m:t>115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50 billion of organic inflows</w:t>
      </w:r>
      <w:r>
        <w:t xml:space="preserve"> </w:t>
      </w:r>
      <w:r>
        <w:t xml:space="preserve">and $65 billion related to Athora’s Pension Insurance Corporation transaction. Organic capital formation included $30 billion in Asset Management and $20 billion at Athene.</w:t>
      </w:r>
    </w:p>
    <w:p>
      <w:pPr>
        <w:pStyle w:val="BodyText"/>
      </w:pPr>
      <w:r>
        <w:t xml:space="preserve">For 2Q, the Street is looking for roughly</w:t>
      </w:r>
      <w:r>
        <w:t xml:space="preserve"> </w:t>
      </w:r>
      <w:r>
        <w:rPr>
          <w:b/>
          <w:bCs/>
        </w:rPr>
        <w:t xml:space="preserve">$50.4 billion of inflows</w:t>
      </w:r>
      <w:r>
        <w:t xml:space="preserve">. That makes capital formation a key confirmation point, particularly because elevated private-credit scrutiny and a mixed fundraising environment could otherwise test the valuation of alternative asset managers.</w:t>
      </w:r>
    </w:p>
    <w:p>
      <w:pPr>
        <w:pStyle w:val="BodyText"/>
      </w:pPr>
      <w:r>
        <w:t xml:space="preserve">The most important components are likely to be: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Institutional credit fundraising</w:t>
      </w:r>
      <w:r>
        <w:t xml:space="preserve">, where Apollo has been seeing demand across investment-grade, asset-backed, and hybrid strategies;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Athene liabilities</w:t>
      </w:r>
      <w:r>
        <w:t xml:space="preserve">, including retail annuities, private funding agreements, and new-market channels;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Global Wealth flows</w:t>
      </w:r>
      <w:r>
        <w:t xml:space="preserve">, especially net flows and redemption requests in Apollo Debt Solutions and other semi-liquid products; and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Athora/PIC integration</w:t>
      </w:r>
      <w:r>
        <w:t xml:space="preserve">, including early fee contribution and the scope for subsequent balance-sheet repositioning.</w:t>
      </w:r>
    </w:p>
    <w:p>
      <w:pPr>
        <w:pStyle w:val="FirstParagraph"/>
      </w:pPr>
      <w:r>
        <w:t xml:space="preserve">A result around the Street’s inflow expectation, paired with durable ACS revenues, would reinforce that Apollo’s growth engine remains active even if the broader alternatives industry is more selective.</w:t>
      </w:r>
    </w:p>
    <w:p>
      <w:r>
        <w:pict>
          <v:rect style="width:0;height:1.5pt" o:hralign="center" o:hrstd="t" o:hr="t"/>
        </w:pict>
      </w:r>
    </w:p>
    <w:bookmarkEnd w:id="18"/>
    <w:bookmarkStart w:id="21" w:name="earnings-scorecard"/>
    <w:p>
      <w:pPr>
        <w:pStyle w:val="Heading2"/>
      </w:pPr>
      <w:r>
        <w:t xml:space="preserve">Earnings scorecard</w:t>
      </w:r>
    </w:p>
    <w:bookmarkStart w:id="19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0"/>
        </w:numPr>
      </w:pPr>
      <w:r>
        <w:t xml:space="preserve">Alternative-return result of 9% proves the weak 1Q outcome was temporary.</w:t>
      </w:r>
    </w:p>
    <w:p>
      <w:pPr>
        <w:pStyle w:val="Compact"/>
        <w:numPr>
          <w:ilvl w:val="0"/>
          <w:numId w:val="1010"/>
        </w:numPr>
      </w:pPr>
      <w:r>
        <w:t xml:space="preserve">FRE growth remains at or above the 20% annual target pace.</w:t>
      </w:r>
    </w:p>
    <w:p>
      <w:pPr>
        <w:pStyle w:val="Compact"/>
        <w:numPr>
          <w:ilvl w:val="0"/>
          <w:numId w:val="1010"/>
        </w:numPr>
      </w:pPr>
      <w:r>
        <w:t xml:space="preserve">ACS fees stay above $200 million and originations accelerate.</w:t>
      </w:r>
    </w:p>
    <w:p>
      <w:pPr>
        <w:pStyle w:val="Compact"/>
        <w:numPr>
          <w:ilvl w:val="0"/>
          <w:numId w:val="1010"/>
        </w:numPr>
      </w:pPr>
      <w:r>
        <w:t xml:space="preserve">Athene net spread improves toward the company’s 120–125 bp normalized range.</w:t>
      </w:r>
    </w:p>
    <w:p>
      <w:pPr>
        <w:pStyle w:val="Compact"/>
        <w:numPr>
          <w:ilvl w:val="0"/>
          <w:numId w:val="1010"/>
        </w:numPr>
      </w:pPr>
      <w:r>
        <w:t xml:space="preserve">Organic inflows meet or exceed the roughly $50 billion Street expectation.</w:t>
      </w:r>
    </w:p>
    <w:p>
      <w:pPr>
        <w:pStyle w:val="Compact"/>
        <w:numPr>
          <w:ilvl w:val="0"/>
          <w:numId w:val="1010"/>
        </w:numPr>
      </w:pPr>
      <w:r>
        <w:t xml:space="preserve">Management retains the 20%+ FRE and 10% SRE 2026 outlook without qualifying the 11% alternative-return assumption.</w:t>
      </w:r>
    </w:p>
    <w:p>
      <w:pPr>
        <w:pStyle w:val="Compact"/>
        <w:numPr>
          <w:ilvl w:val="0"/>
          <w:numId w:val="1010"/>
        </w:numPr>
      </w:pPr>
      <w:r>
        <w:t xml:space="preserve">The AP Grange gain adds upside to headline results without obscuring solid underlying earnings.</w:t>
      </w:r>
    </w:p>
    <w:bookmarkEnd w:id="19"/>
    <w:bookmarkStart w:id="20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1"/>
        </w:numPr>
      </w:pPr>
      <w:r>
        <w:t xml:space="preserve">The 9% alternative return is framed as a ceiling rather than a recovery toward 11%.</w:t>
      </w:r>
    </w:p>
    <w:p>
      <w:pPr>
        <w:pStyle w:val="Compact"/>
        <w:numPr>
          <w:ilvl w:val="0"/>
          <w:numId w:val="1011"/>
        </w:numPr>
      </w:pPr>
      <w:r>
        <w:t xml:space="preserve">SRE guidance becomes harder to defend due to weaker spreads, lower returns, or muted liability generation.</w:t>
      </w:r>
    </w:p>
    <w:p>
      <w:pPr>
        <w:pStyle w:val="Compact"/>
        <w:numPr>
          <w:ilvl w:val="0"/>
          <w:numId w:val="1011"/>
        </w:numPr>
      </w:pPr>
      <w:r>
        <w:t xml:space="preserve">ACS fees fall materially despite management’s strong origination commentary.</w:t>
      </w:r>
    </w:p>
    <w:p>
      <w:pPr>
        <w:pStyle w:val="Compact"/>
        <w:numPr>
          <w:ilvl w:val="0"/>
          <w:numId w:val="1011"/>
        </w:numPr>
      </w:pPr>
      <w:r>
        <w:t xml:space="preserve">Retail-annuity competition remains severe and forces low-return growth or slower volumes.</w:t>
      </w:r>
    </w:p>
    <w:p>
      <w:pPr>
        <w:pStyle w:val="Compact"/>
        <w:numPr>
          <w:ilvl w:val="0"/>
          <w:numId w:val="1011"/>
        </w:numPr>
      </w:pPr>
      <w:r>
        <w:t xml:space="preserve">Wealth-channel redemptions broaden, especially in private-credit products.</w:t>
      </w:r>
    </w:p>
    <w:p>
      <w:pPr>
        <w:pStyle w:val="Compact"/>
        <w:numPr>
          <w:ilvl w:val="0"/>
          <w:numId w:val="1011"/>
        </w:numPr>
      </w:pPr>
      <w:r>
        <w:t xml:space="preserve">Apollo’s disclosures surface higher credit losses, marks, or regulatory constraints than investors expect.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questions-management-needs-to-answer"/>
    <w:p>
      <w:pPr>
        <w:pStyle w:val="Heading2"/>
      </w:pPr>
      <w:r>
        <w:t xml:space="preserve">Questions management needs to answer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Does the 9% second-quarter alternative return change the confidence level around the 11% long-term assumption for 2026?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What is the implied second-half alternative-return expectation necessary to maintain 10% SRE growth?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Did ACS fees and origination volumes meet management’s expectation for a stronger 2Q?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Where is Athene’s normalized net spread today, excluding the effect of alternative returns?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Have retail-annuity market conditions improved enough to grow volumes while meeting return thresholds?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How much of Athene’s excess liquidity has been deployed, and at what spread and credit quality?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What are current redemption requests and net flows across ADS and other semi-liquid wealth products?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How should investors account for the disclosed $673 million AP Grange gain: GAAP, SRE, ANI, or another measure?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What has been the early earnings contribution from Athora/PIC, and what is the timeline for repositioning that balance sheet?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Have any recent private-credit, insurance, or offshore-reinsurance regulatory developments changed capital requirements or growth plans?</w:t>
      </w:r>
    </w:p>
    <w:p>
      <w:r>
        <w:pict>
          <v:rect style="width:0;height:1.5pt" o:hralign="center" o:hrstd="t" o:hr="t"/>
        </w:pict>
      </w:r>
    </w:p>
    <w:bookmarkEnd w:id="22"/>
    <w:bookmarkStart w:id="23" w:name="investment-view-into-the-print"/>
    <w:p>
      <w:pPr>
        <w:pStyle w:val="Heading2"/>
      </w:pPr>
      <w:r>
        <w:t xml:space="preserve">Investment view into the print</w:t>
      </w:r>
    </w:p>
    <w:p>
      <w:pPr>
        <w:pStyle w:val="FirstParagraph"/>
      </w:pPr>
      <w:r>
        <w:t xml:space="preserve">Apollo has a favorable setup for a</w:t>
      </w:r>
      <w:r>
        <w:t xml:space="preserve"> </w:t>
      </w:r>
      <w:r>
        <w:rPr>
          <w:b/>
          <w:bCs/>
        </w:rPr>
        <w:t xml:space="preserve">solid operating quarter</w:t>
      </w:r>
      <w:r>
        <w:t xml:space="preserve">, particularly if record-scale origination converts into another strong ACS and FRE result. The preannounced 9% alternative return materially de-risks the SRE setup versus 1Q. Still, it does not fully resolve the most important investor concern: whether alternatives can return to the 11% rate underpinning Apollo’s annual SRE outlook.</w:t>
      </w:r>
    </w:p>
    <w:p>
      <w:pPr>
        <w:pStyle w:val="BodyText"/>
      </w:pPr>
      <w:r>
        <w:t xml:space="preserve">The cleanest positive print would be:</w:t>
      </w:r>
      <w:r>
        <w:t xml:space="preserve"> </w:t>
      </w:r>
      <w:r>
        <w:rPr>
          <w:b/>
          <w:bCs/>
        </w:rPr>
        <w:t xml:space="preserve">FRE/ACS strength, ~$50B-plus of organic capital formation, stable-to-improving Athene spreads, contained wealth redemptions, and explicit reaffirmation of both 2026 growth targets.</w:t>
      </w:r>
      <w:r>
        <w:t xml:space="preserve"> </w:t>
      </w:r>
      <w:r>
        <w:t xml:space="preserve">The cleanest disappointment would be a quarter where the preannounced alternative result is respectable but the company signals that normalized SRE economics or liability growth will take longer to recover.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2026-08-04T00:39:25Z</dcterms:created>
  <dcterms:modified xsi:type="dcterms:W3CDTF">2026-08-04T00:39:25Z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