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Apollo Global Management (APO)</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b/>
                <w:sz w:val="22"/>
              </w:rPr>
              <w:t>Earnings Date</w:t>
            </w:r>
          </w:p>
        </w:tc>
        <w:tc>
          <w:tcPr>
            <w:tcW w:type="dxa" w:w="2160"/>
          </w:tcPr>
          <w:p>
            <w:r>
              <w:rPr>
                <w:rFonts w:ascii="Calibri" w:hAnsi="Calibri"/>
                <w:b/>
                <w:sz w:val="22"/>
              </w:rPr>
              <w:t>Reporting Period</w:t>
            </w:r>
          </w:p>
        </w:tc>
        <w:tc>
          <w:tcPr>
            <w:tcW w:type="dxa" w:w="2160"/>
          </w:tcPr>
          <w:p>
            <w:r>
              <w:rPr>
                <w:rFonts w:ascii="Calibri" w:hAnsi="Calibri"/>
                <w:b/>
                <w:sz w:val="22"/>
              </w:rPr>
              <w:t>Prepared</w:t>
            </w:r>
          </w:p>
        </w:tc>
      </w:tr>
      <w:tr>
        <w:tc>
          <w:tcPr>
            <w:tcW w:type="dxa" w:w="2160"/>
          </w:tcPr>
          <w:p>
            <w:r>
              <w:rPr>
                <w:rFonts w:ascii="Calibri" w:hAnsi="Calibri"/>
                <w:sz w:val="22"/>
              </w:rPr>
              <w:t>APO</w:t>
            </w:r>
          </w:p>
        </w:tc>
        <w:tc>
          <w:tcPr>
            <w:tcW w:type="dxa" w:w="2160"/>
          </w:tcPr>
          <w:p>
            <w:r>
              <w:rPr>
                <w:rFonts w:ascii="Calibri" w:hAnsi="Calibri"/>
                <w:sz w:val="22"/>
              </w:rPr>
              <w:t>August 4, 2026</w:t>
            </w:r>
          </w:p>
        </w:tc>
        <w:tc>
          <w:tcPr>
            <w:tcW w:type="dxa" w:w="2160"/>
          </w:tcPr>
          <w:p>
            <w:r>
              <w:rPr>
                <w:rFonts w:ascii="Calibri" w:hAnsi="Calibri"/>
                <w:sz w:val="22"/>
              </w:rPr>
              <w:t>Q2 2026 (ended June 30, 2026)</w:t>
            </w:r>
          </w:p>
        </w:tc>
        <w:tc>
          <w:tcPr>
            <w:tcW w:type="dxa" w:w="2160"/>
          </w:tcPr>
          <w:p>
            <w:r>
              <w:rPr>
                <w:rFonts w:ascii="Calibri" w:hAnsi="Calibri"/>
                <w:sz w:val="22"/>
              </w:rPr>
              <w:t>August 3,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APO heads into Q2 with a high bar on FRE but a potentially strong beat catalyst in origination — the single biggest swing factor is whether Q2 origination approached the $97B record management telegraphed, which would drive record ACS fees and validate the flywheel thesis.</w:t>
      </w:r>
    </w:p>
    <w:p>
      <w:r>
        <w:rPr>
          <w:rFonts w:ascii="Calibri" w:hAnsi="Calibri"/>
          <w:color w:val="525866"/>
          <w:sz w:val="22"/>
        </w:rPr>
        <w:t xml:space="preserve">Apollo enters Q2 2026 earnings with consensus expecting </w:t>
      </w:r>
      <w:r>
        <w:rPr>
          <w:rFonts w:ascii="Calibri" w:hAnsi="Calibri"/>
          <w:b/>
          <w:color w:val="525866"/>
          <w:sz w:val="22"/>
        </w:rPr>
        <w:t>FRE of ~$767M (+5% QoQ, +22% YoY)</w:t>
      </w:r>
      <w:r>
        <w:rPr>
          <w:rFonts w:ascii="Calibri" w:hAnsi="Calibri"/>
          <w:color w:val="525866"/>
          <w:sz w:val="22"/>
        </w:rPr>
        <w:t xml:space="preserve"> and </w:t>
      </w:r>
      <w:r>
        <w:rPr>
          <w:rFonts w:ascii="Calibri" w:hAnsi="Calibri"/>
          <w:b/>
          <w:color w:val="525866"/>
          <w:sz w:val="22"/>
        </w:rPr>
        <w:t>Distributable EPS of ~$2.16</w:t>
      </w:r>
      <w:r>
        <w:rPr>
          <w:rFonts w:ascii="Calibri" w:hAnsi="Calibri"/>
          <w:color w:val="525866"/>
          <w:sz w:val="22"/>
        </w:rPr>
        <w:t xml:space="preserve">, both representing a high but achievable bar given management's explicit Q1 guidance that Q2 origination could approach the all-time record of $97B. The guidance/tone from the Q1 call was unambiguously bullish on FRE trajectory (20%+ growth reaffirmed) while more measured on SRE given the Q1 alts return drag; the Q2 pre-announcement of ~$350M in alternative net investment income (9% annualized return) is modestly below the 11% long-term assumption, suggesting SRE will again come in below the normalized $900M+ level but in line with the 120–125bps net spread guidance. Estimate revisions since Q1 earnings have been modest and directionally flat, suggesting the Street is not pricing in a large beat or miss — the stock is essentially flat since earnings (indexed ~100 vs. +3% for SPY), having sold off sharply in late June before recovering, which means the setup is neither euphoric nor depressed. The wildcard is the </w:t>
      </w:r>
      <w:r>
        <w:rPr>
          <w:rFonts w:ascii="Calibri" w:hAnsi="Calibri"/>
          <w:b/>
          <w:color w:val="525866"/>
          <w:sz w:val="22"/>
        </w:rPr>
        <w:t>Broadcom/BX/APO $35B AI infrastructure financing platform announced June 9</w:t>
      </w:r>
      <w:r>
        <w:rPr>
          <w:rFonts w:ascii="Calibri" w:hAnsi="Calibri"/>
          <w:color w:val="525866"/>
          <w:sz w:val="22"/>
        </w:rPr>
        <w:t xml:space="preserve"> — if management provides deal economics and pipeline color, it could be a significant positive catalyst for the origination and ACS fee outlook.</w:t>
      </w:r>
    </w:p>
    <w:p>
      <w:pPr>
        <w:pStyle w:val="ListBullet"/>
        <w:ind w:left="360" w:hanging="360"/>
      </w:pPr>
      <w:r>
        <w:rPr>
          <w:rFonts w:ascii="Calibri" w:hAnsi="Calibri"/>
          <w:b/>
          <w:color w:val="525866"/>
          <w:sz w:val="22"/>
        </w:rPr>
        <w:t xml:space="preserve">Bar: </w:t>
      </w:r>
      <w:r>
        <w:rPr>
          <w:rFonts w:ascii="Calibri" w:hAnsi="Calibri"/>
          <w:color w:val="525866"/>
          <w:sz w:val="22"/>
        </w:rPr>
        <w:t>Consensus FRE of ~$767M is a high but achievable bar; origination is the key swing factor.</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 reaffirmed 20% FRE growth and 10% SRE growth for full-year 2026 at Q1 earnings; tone was constructive but defensively positioned.</w:t>
      </w:r>
    </w:p>
    <w:p>
      <w:pPr>
        <w:pStyle w:val="ListBullet"/>
        <w:ind w:left="360" w:hanging="360"/>
      </w:pPr>
      <w:r>
        <w:rPr>
          <w:rFonts w:ascii="Calibri" w:hAnsi="Calibri"/>
          <w:b/>
          <w:color w:val="525866"/>
          <w:sz w:val="22"/>
        </w:rPr>
        <w:t xml:space="preserve">Estimate Trajectory: </w:t>
      </w:r>
      <w:r>
        <w:rPr>
          <w:rFonts w:ascii="Calibri" w:hAnsi="Calibri"/>
          <w:color w:val="525866"/>
          <w:sz w:val="22"/>
        </w:rPr>
        <w:t>Estimates have been broadly stable since Q1 earnings with modest upward drift on FRE; SRE estimates have drifted slightly lower reflecting the alts return drag.</w:t>
      </w:r>
    </w:p>
    <w:p>
      <w:pPr>
        <w:pStyle w:val="ListBullet"/>
        <w:ind w:left="360" w:hanging="360"/>
      </w:pPr>
      <w:r>
        <w:rPr>
          <w:rFonts w:ascii="Calibri" w:hAnsi="Calibri"/>
          <w:b/>
          <w:color w:val="525866"/>
          <w:sz w:val="22"/>
        </w:rPr>
        <w:t xml:space="preserve">Stock Setup: </w:t>
      </w:r>
      <w:r>
        <w:rPr>
          <w:rFonts w:ascii="Calibri" w:hAnsi="Calibri"/>
          <w:color w:val="525866"/>
          <w:sz w:val="22"/>
        </w:rPr>
        <w:t>APO is essentially flat since Q1 earnings (vs. +3% for SPY), having underperformed significantly vs. the insurance ETF (KIE +15%), suggesting the market is discounting Athene's spread business relative to peers.</w:t>
      </w:r>
    </w:p>
    <w:p>
      <w:pPr>
        <w:pStyle w:val="ListBullet"/>
        <w:ind w:left="360" w:hanging="360"/>
      </w:pPr>
      <w:r>
        <w:rPr>
          <w:rFonts w:ascii="Calibri" w:hAnsi="Calibri"/>
          <w:b/>
          <w:color w:val="525866"/>
          <w:sz w:val="22"/>
        </w:rPr>
        <w:t xml:space="preserve">Wildcard: </w:t>
      </w:r>
      <w:r>
        <w:rPr>
          <w:rFonts w:ascii="Calibri" w:hAnsi="Calibri"/>
          <w:color w:val="525866"/>
          <w:sz w:val="22"/>
        </w:rPr>
        <w:t>The $35B Broadcom AI infrastructure deal (announced June 9 with BX) — management commentary on deal economics, pipeline, and fee contribution could be a major positive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high but achievable bar on FRE; SRE is the lower-conviction line given the alts return drag. </w:t>
      </w:r>
      <w:r>
        <w:rPr>
          <w:rFonts w:ascii="Calibri" w:hAnsi="Calibri"/>
          <w:b/>
          <w:color w:val="525866"/>
          <w:sz w:val="22"/>
        </w:rPr>
        <w:t>Origination volume is the biggest swing factor for both ACS fees and the FRE beat/miss.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Fee-Related Earnings (FRE)</w:t>
            </w:r>
          </w:p>
        </w:tc>
        <w:tc>
          <w:tcPr>
            <w:tcW w:type="dxa" w:w="1234"/>
          </w:tcPr>
          <w:p>
            <w:r>
              <w:rPr>
                <w:rFonts w:ascii="Calibri" w:hAnsi="Calibri"/>
                <w:sz w:val="22"/>
              </w:rPr>
              <w:t>$728M</w:t>
            </w:r>
          </w:p>
        </w:tc>
        <w:tc>
          <w:tcPr>
            <w:tcW w:type="dxa" w:w="1234"/>
          </w:tcPr>
          <w:p>
            <w:r>
              <w:rPr>
                <w:rFonts w:ascii="Calibri" w:hAnsi="Calibri"/>
                <w:sz w:val="22"/>
              </w:rPr>
              <w:t>$627M</w:t>
            </w:r>
          </w:p>
        </w:tc>
        <w:tc>
          <w:tcPr>
            <w:tcW w:type="dxa" w:w="1234"/>
          </w:tcPr>
          <w:p>
            <w:r>
              <w:rPr>
                <w:rFonts w:ascii="Calibri" w:hAnsi="Calibri"/>
                <w:sz w:val="22"/>
              </w:rPr>
              <w:t>$767M ¹</w:t>
            </w:r>
          </w:p>
        </w:tc>
        <w:tc>
          <w:tcPr>
            <w:tcW w:type="dxa" w:w="1234"/>
          </w:tcPr>
          <w:p>
            <w:r>
              <w:rPr>
                <w:rFonts w:ascii="Calibri" w:hAnsi="Calibri"/>
                <w:b/>
                <w:color w:val="30A46C"/>
                <w:sz w:val="22"/>
              </w:rPr>
              <w:t>+22%</w:t>
            </w:r>
          </w:p>
        </w:tc>
        <w:tc>
          <w:tcPr>
            <w:tcW w:type="dxa" w:w="1234"/>
          </w:tcPr>
          <w:p>
            <w:r>
              <w:rPr>
                <w:rFonts w:ascii="Calibri" w:hAnsi="Calibri"/>
                <w:sz w:val="22"/>
              </w:rPr>
              <w:t>~$3.1B (20%+ growth)</w:t>
            </w:r>
          </w:p>
        </w:tc>
        <w:tc>
          <w:tcPr>
            <w:tcW w:type="dxa" w:w="1234"/>
          </w:tcPr>
          <w:p>
            <w:r>
              <w:rPr>
                <w:rFonts w:ascii="Calibri" w:hAnsi="Calibri"/>
                <w:sz w:val="22"/>
              </w:rPr>
              <w:t>In line</w:t>
            </w:r>
          </w:p>
        </w:tc>
      </w:tr>
      <w:tr>
        <w:tc>
          <w:tcPr>
            <w:tcW w:type="dxa" w:w="1234"/>
          </w:tcPr>
          <w:p>
            <w:r>
              <w:rPr>
                <w:rFonts w:ascii="Calibri" w:hAnsi="Calibri"/>
                <w:sz w:val="22"/>
              </w:rPr>
              <w:t>Spread-Related Earnings (SRE, Operating)</w:t>
            </w:r>
          </w:p>
        </w:tc>
        <w:tc>
          <w:tcPr>
            <w:tcW w:type="dxa" w:w="1234"/>
          </w:tcPr>
          <w:p>
            <w:r>
              <w:rPr>
                <w:rFonts w:ascii="Calibri" w:hAnsi="Calibri"/>
                <w:sz w:val="22"/>
              </w:rPr>
              <w:t>$719M</w:t>
            </w:r>
          </w:p>
        </w:tc>
        <w:tc>
          <w:tcPr>
            <w:tcW w:type="dxa" w:w="1234"/>
          </w:tcPr>
          <w:p>
            <w:r>
              <w:rPr>
                <w:rFonts w:ascii="Calibri" w:hAnsi="Calibri"/>
                <w:sz w:val="22"/>
              </w:rPr>
              <w:t>$821M</w:t>
            </w:r>
          </w:p>
        </w:tc>
        <w:tc>
          <w:tcPr>
            <w:tcW w:type="dxa" w:w="1234"/>
          </w:tcPr>
          <w:p>
            <w:r>
              <w:rPr>
                <w:rFonts w:ascii="Calibri" w:hAnsi="Calibri"/>
                <w:sz w:val="22"/>
              </w:rPr>
              <w:t>$872M ¹</w:t>
            </w:r>
          </w:p>
        </w:tc>
        <w:tc>
          <w:tcPr>
            <w:tcW w:type="dxa" w:w="1234"/>
          </w:tcPr>
          <w:p>
            <w:r>
              <w:rPr>
                <w:rFonts w:ascii="Calibri" w:hAnsi="Calibri"/>
                <w:b/>
                <w:color w:val="30A46C"/>
                <w:sz w:val="22"/>
              </w:rPr>
              <w:t>+6%</w:t>
            </w:r>
          </w:p>
        </w:tc>
        <w:tc>
          <w:tcPr>
            <w:tcW w:type="dxa" w:w="1234"/>
          </w:tcPr>
          <w:p>
            <w:r>
              <w:rPr>
                <w:rFonts w:ascii="Calibri" w:hAnsi="Calibri"/>
                <w:sz w:val="22"/>
              </w:rPr>
              <w:t>~$3.5B (10% growth)</w:t>
            </w:r>
          </w:p>
        </w:tc>
        <w:tc>
          <w:tcPr>
            <w:tcW w:type="dxa" w:w="1234"/>
          </w:tcPr>
          <w:p>
            <w:r>
              <w:rPr>
                <w:rFonts w:ascii="Calibri" w:hAnsi="Calibri"/>
                <w:sz w:val="22"/>
              </w:rPr>
              <w:t>In line</w:t>
            </w:r>
          </w:p>
        </w:tc>
      </w:tr>
      <w:tr>
        <w:tc>
          <w:tcPr>
            <w:tcW w:type="dxa" w:w="1234"/>
          </w:tcPr>
          <w:p>
            <w:r>
              <w:rPr>
                <w:rFonts w:ascii="Calibri" w:hAnsi="Calibri"/>
                <w:sz w:val="22"/>
              </w:rPr>
              <w:t>Distributable EPS (Operating)</w:t>
            </w:r>
          </w:p>
        </w:tc>
        <w:tc>
          <w:tcPr>
            <w:tcW w:type="dxa" w:w="1234"/>
          </w:tcPr>
          <w:p>
            <w:r>
              <w:rPr>
                <w:rFonts w:ascii="Calibri" w:hAnsi="Calibri"/>
                <w:sz w:val="22"/>
              </w:rPr>
              <w:t>$1.94</w:t>
            </w:r>
          </w:p>
        </w:tc>
        <w:tc>
          <w:tcPr>
            <w:tcW w:type="dxa" w:w="1234"/>
          </w:tcPr>
          <w:p>
            <w:r>
              <w:rPr>
                <w:rFonts w:ascii="Calibri" w:hAnsi="Calibri"/>
                <w:sz w:val="22"/>
              </w:rPr>
              <w:t>$1.92</w:t>
            </w:r>
          </w:p>
        </w:tc>
        <w:tc>
          <w:tcPr>
            <w:tcW w:type="dxa" w:w="1234"/>
          </w:tcPr>
          <w:p>
            <w:r>
              <w:rPr>
                <w:rFonts w:ascii="Calibri" w:hAnsi="Calibri"/>
                <w:sz w:val="22"/>
              </w:rPr>
              <w:t>$2.16 ¹</w:t>
            </w:r>
          </w:p>
        </w:tc>
        <w:tc>
          <w:tcPr>
            <w:tcW w:type="dxa" w:w="1234"/>
          </w:tcPr>
          <w:p>
            <w:r>
              <w:rPr>
                <w:rFonts w:ascii="Calibri" w:hAnsi="Calibri"/>
                <w:b/>
                <w:color w:val="30A46C"/>
                <w:sz w:val="22"/>
              </w:rPr>
              <w:t>+13%</w:t>
            </w:r>
          </w:p>
        </w:tc>
        <w:tc>
          <w:tcPr>
            <w:tcW w:type="dxa" w:w="1234"/>
          </w:tcPr>
          <w:p>
            <w:r>
              <w:rPr>
                <w:rFonts w:ascii="Calibri" w:hAnsi="Calibri"/>
                <w:sz w:val="22"/>
              </w:rPr>
              <w:t>~$8.84 (FY)</w:t>
            </w:r>
          </w:p>
        </w:tc>
        <w:tc>
          <w:tcPr>
            <w:tcW w:type="dxa" w:w="1234"/>
          </w:tcPr>
          <w:p>
            <w:r>
              <w:rPr>
                <w:rFonts w:ascii="Calibri" w:hAnsi="Calibri"/>
                <w:sz w:val="22"/>
              </w:rPr>
              <w:t>In line</w:t>
            </w:r>
          </w:p>
        </w:tc>
      </w:tr>
      <w:tr>
        <w:tc>
          <w:tcPr>
            <w:tcW w:type="dxa" w:w="1234"/>
          </w:tcPr>
          <w:p>
            <w:r>
              <w:rPr>
                <w:rFonts w:ascii="Calibri" w:hAnsi="Calibri"/>
                <w:sz w:val="22"/>
              </w:rPr>
              <w:t>Management Fees</w:t>
            </w:r>
          </w:p>
        </w:tc>
        <w:tc>
          <w:tcPr>
            <w:tcW w:type="dxa" w:w="1234"/>
          </w:tcPr>
          <w:p>
            <w:r>
              <w:rPr>
                <w:rFonts w:ascii="Calibri" w:hAnsi="Calibri"/>
                <w:sz w:val="22"/>
              </w:rPr>
              <w:t>$952M</w:t>
            </w:r>
          </w:p>
        </w:tc>
        <w:tc>
          <w:tcPr>
            <w:tcW w:type="dxa" w:w="1234"/>
          </w:tcPr>
          <w:p>
            <w:r>
              <w:rPr>
                <w:rFonts w:ascii="Calibri" w:hAnsi="Calibri"/>
                <w:sz w:val="22"/>
              </w:rPr>
              <w:t>$816M</w:t>
            </w:r>
          </w:p>
        </w:tc>
        <w:tc>
          <w:tcPr>
            <w:tcW w:type="dxa" w:w="1234"/>
          </w:tcPr>
          <w:p>
            <w:r>
              <w:rPr>
                <w:rFonts w:ascii="Calibri" w:hAnsi="Calibri"/>
                <w:sz w:val="22"/>
              </w:rPr>
              <w:t>$1,021M ¹</w:t>
            </w:r>
          </w:p>
        </w:tc>
        <w:tc>
          <w:tcPr>
            <w:tcW w:type="dxa" w:w="1234"/>
          </w:tcPr>
          <w:p>
            <w:r>
              <w:rPr>
                <w:rFonts w:ascii="Calibri" w:hAnsi="Calibri"/>
                <w:b/>
                <w:color w:val="30A46C"/>
                <w:sz w:val="22"/>
              </w:rPr>
              <w:t>+25%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End of Period AUM</w:t>
            </w:r>
          </w:p>
        </w:tc>
        <w:tc>
          <w:tcPr>
            <w:tcW w:type="dxa" w:w="1234"/>
          </w:tcPr>
          <w:p>
            <w:r>
              <w:rPr>
                <w:rFonts w:ascii="Calibri" w:hAnsi="Calibri"/>
                <w:sz w:val="22"/>
              </w:rPr>
              <w:t>$1,026B</w:t>
            </w:r>
          </w:p>
        </w:tc>
        <w:tc>
          <w:tcPr>
            <w:tcW w:type="dxa" w:w="1234"/>
          </w:tcPr>
          <w:p>
            <w:r>
              <w:rPr>
                <w:rFonts w:ascii="Calibri" w:hAnsi="Calibri"/>
                <w:sz w:val="22"/>
              </w:rPr>
              <w:t>$840B</w:t>
            </w:r>
          </w:p>
        </w:tc>
        <w:tc>
          <w:tcPr>
            <w:tcW w:type="dxa" w:w="1234"/>
          </w:tcPr>
          <w:p>
            <w:r>
              <w:rPr>
                <w:rFonts w:ascii="Calibri" w:hAnsi="Calibri"/>
                <w:sz w:val="22"/>
              </w:rPr>
              <w:t>$1,056B ¹</w:t>
            </w:r>
          </w:p>
        </w:tc>
        <w:tc>
          <w:tcPr>
            <w:tcW w:type="dxa" w:w="1234"/>
          </w:tcPr>
          <w:p>
            <w:r>
              <w:rPr>
                <w:rFonts w:ascii="Calibri" w:hAnsi="Calibri"/>
                <w:b/>
                <w:color w:val="30A46C"/>
                <w:sz w:val="22"/>
              </w:rPr>
              <w:t>+26%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Net Spread - Operating (%)</w:t>
            </w:r>
          </w:p>
        </w:tc>
        <w:tc>
          <w:tcPr>
            <w:tcW w:type="dxa" w:w="1234"/>
          </w:tcPr>
          <w:p>
            <w:r>
              <w:rPr>
                <w:rFonts w:ascii="Calibri" w:hAnsi="Calibri"/>
                <w:sz w:val="22"/>
              </w:rPr>
              <w:t>0.97%</w:t>
            </w:r>
          </w:p>
        </w:tc>
        <w:tc>
          <w:tcPr>
            <w:tcW w:type="dxa" w:w="1234"/>
          </w:tcPr>
          <w:p>
            <w:r>
              <w:rPr>
                <w:rFonts w:ascii="Calibri" w:hAnsi="Calibri"/>
                <w:sz w:val="22"/>
              </w:rPr>
              <w:t>1.22%</w:t>
            </w:r>
          </w:p>
        </w:tc>
        <w:tc>
          <w:tcPr>
            <w:tcW w:type="dxa" w:w="1234"/>
          </w:tcPr>
          <w:p>
            <w:r>
              <w:rPr>
                <w:rFonts w:ascii="Calibri" w:hAnsi="Calibri"/>
                <w:sz w:val="22"/>
              </w:rPr>
              <w:t>1.15% ¹</w:t>
            </w:r>
          </w:p>
        </w:tc>
        <w:tc>
          <w:tcPr>
            <w:tcW w:type="dxa" w:w="1234"/>
          </w:tcPr>
          <w:p>
            <w:r>
              <w:rPr>
                <w:rFonts w:ascii="Calibri" w:hAnsi="Calibri"/>
                <w:b/>
                <w:color w:val="E5484D"/>
                <w:sz w:val="22"/>
              </w:rPr>
              <w:t>-7bps</w:t>
            </w:r>
          </w:p>
        </w:tc>
        <w:tc>
          <w:tcPr>
            <w:tcW w:type="dxa" w:w="1234"/>
          </w:tcPr>
          <w:p>
            <w:r>
              <w:rPr>
                <w:rFonts w:ascii="Calibri" w:hAnsi="Calibri"/>
                <w:sz w:val="22"/>
              </w:rPr>
              <w:t>120–125bps</w:t>
            </w:r>
          </w:p>
        </w:tc>
        <w:tc>
          <w:tcPr>
            <w:tcW w:type="dxa" w:w="1234"/>
          </w:tcPr>
          <w:p>
            <w:r>
              <w:rPr>
                <w:rFonts w:ascii="Calibri" w:hAnsi="Calibri"/>
                <w:sz w:val="22"/>
              </w:rPr>
              <w:t>Slightly below midpoint</w:t>
            </w:r>
          </w:p>
        </w:tc>
      </w:tr>
      <w:tr>
        <w:tc>
          <w:tcPr>
            <w:tcW w:type="dxa" w:w="1234"/>
          </w:tcPr>
          <w:p>
            <w:r>
              <w:rPr>
                <w:rFonts w:ascii="Calibri" w:hAnsi="Calibri"/>
                <w:sz w:val="22"/>
              </w:rPr>
              <w:t>Gross Capital Deployment</w:t>
            </w:r>
          </w:p>
        </w:tc>
        <w:tc>
          <w:tcPr>
            <w:tcW w:type="dxa" w:w="1234"/>
          </w:tcPr>
          <w:p>
            <w:r>
              <w:rPr>
                <w:rFonts w:ascii="Calibri" w:hAnsi="Calibri"/>
                <w:sz w:val="22"/>
              </w:rPr>
              <w:t>$103B</w:t>
            </w:r>
          </w:p>
        </w:tc>
        <w:tc>
          <w:tcPr>
            <w:tcW w:type="dxa" w:w="1234"/>
          </w:tcPr>
          <w:p>
            <w:r>
              <w:rPr>
                <w:rFonts w:ascii="Calibri" w:hAnsi="Calibri"/>
                <w:sz w:val="22"/>
              </w:rPr>
              <w:t>$90B</w:t>
            </w:r>
          </w:p>
        </w:tc>
        <w:tc>
          <w:tcPr>
            <w:tcW w:type="dxa" w:w="1234"/>
          </w:tcPr>
          <w:p>
            <w:r>
              <w:rPr>
                <w:rFonts w:ascii="Calibri" w:hAnsi="Calibri"/>
                <w:sz w:val="22"/>
              </w:rPr>
              <w:t>$97B ¹</w:t>
            </w:r>
          </w:p>
        </w:tc>
        <w:tc>
          <w:tcPr>
            <w:tcW w:type="dxa" w:w="1234"/>
          </w:tcPr>
          <w:p>
            <w:r>
              <w:rPr>
                <w:rFonts w:ascii="Calibri" w:hAnsi="Calibri"/>
                <w:b/>
                <w:color w:val="30A46C"/>
                <w:sz w:val="22"/>
              </w:rPr>
              <w:t>+8%</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¹ Visible Alpha consensus estimates.</w:t>
      </w:r>
    </w:p>
    <w:p>
      <w:pPr>
        <w:pStyle w:val="Heading3"/>
      </w:pPr>
      <w:r>
        <w:rPr>
          <w:rFonts w:ascii="Calibri" w:hAnsi="Calibri"/>
          <w:b/>
          <w:color w:val="3B4259"/>
          <w:sz w:val="24"/>
        </w:rPr>
        <w:t>Table 2 — Beat/Miss History (Last 8 Quarters)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FRE Reported</w:t>
            </w:r>
          </w:p>
        </w:tc>
        <w:tc>
          <w:tcPr>
            <w:tcW w:type="dxa" w:w="1234"/>
            <w:shd w:val="clear" w:color="auto" w:fill="3B4259"/>
          </w:tcPr>
          <w:p>
            <w:r>
              <w:rPr>
                <w:rFonts w:ascii="Calibri" w:hAnsi="Calibri"/>
                <w:b/>
                <w:color w:val="FFFFFF"/>
                <w:sz w:val="22"/>
              </w:rPr>
              <w:t>FRE Consensus ¹</w:t>
            </w:r>
          </w:p>
        </w:tc>
        <w:tc>
          <w:tcPr>
            <w:tcW w:type="dxa" w:w="1234"/>
            <w:shd w:val="clear" w:color="auto" w:fill="3B4259"/>
          </w:tcPr>
          <w:p>
            <w:r>
              <w:rPr>
                <w:rFonts w:ascii="Calibri" w:hAnsi="Calibri"/>
                <w:b/>
                <w:color w:val="FFFFFF"/>
                <w:sz w:val="22"/>
              </w:rPr>
              <w:t>FRE Surprise %</w:t>
            </w:r>
          </w:p>
        </w:tc>
        <w:tc>
          <w:tcPr>
            <w:tcW w:type="dxa" w:w="1234"/>
            <w:shd w:val="clear" w:color="auto" w:fill="3B4259"/>
          </w:tcPr>
          <w:p>
            <w:r>
              <w:rPr>
                <w:rFonts w:ascii="Calibri" w:hAnsi="Calibri"/>
                <w:b/>
                <w:color w:val="FFFFFF"/>
                <w:sz w:val="22"/>
              </w:rPr>
              <w:t>EPS Reported</w:t>
            </w:r>
          </w:p>
        </w:tc>
        <w:tc>
          <w:tcPr>
            <w:tcW w:type="dxa" w:w="1234"/>
            <w:shd w:val="clear" w:color="auto" w:fill="3B4259"/>
          </w:tcPr>
          <w:p>
            <w:r>
              <w:rPr>
                <w:rFonts w:ascii="Calibri" w:hAnsi="Calibri"/>
                <w:b/>
                <w:color w:val="FFFFFF"/>
                <w:sz w:val="22"/>
              </w:rPr>
              <w:t>EPS Consensus ¹</w:t>
            </w:r>
          </w:p>
        </w:tc>
        <w:tc>
          <w:tcPr>
            <w:tcW w:type="dxa" w:w="1234"/>
            <w:shd w:val="clear" w:color="auto" w:fill="3B4259"/>
          </w:tcPr>
          <w:p>
            <w:r>
              <w:rPr>
                <w:rFonts w:ascii="Calibri" w:hAnsi="Calibri"/>
                <w:b/>
                <w:color w:val="FFFFFF"/>
                <w:sz w:val="22"/>
              </w:rPr>
              <w:t>EPS Surprise %</w:t>
            </w:r>
          </w:p>
        </w:tc>
      </w:tr>
      <w:tr>
        <w:tc>
          <w:tcPr>
            <w:tcW w:type="dxa" w:w="1234"/>
          </w:tcPr>
          <w:p>
            <w:r>
              <w:rPr>
                <w:rFonts w:ascii="Calibri" w:hAnsi="Calibri"/>
                <w:sz w:val="22"/>
              </w:rPr>
              <w:t>Q2 2024</w:t>
            </w:r>
          </w:p>
        </w:tc>
        <w:tc>
          <w:tcPr>
            <w:tcW w:type="dxa" w:w="1234"/>
          </w:tcPr>
          <w:p>
            <w:r>
              <w:rPr>
                <w:rFonts w:ascii="Calibri" w:hAnsi="Calibri"/>
                <w:sz w:val="22"/>
              </w:rPr>
              <w:t>$516M</w:t>
            </w:r>
          </w:p>
        </w:tc>
        <w:tc>
          <w:tcPr>
            <w:tcW w:type="dxa" w:w="1234"/>
          </w:tcPr>
          <w:p>
            <w:r>
              <w:rPr>
                <w:rFonts w:ascii="Calibri" w:hAnsi="Calibri"/>
                <w:sz w:val="22"/>
              </w:rPr>
              <w:t>$482M</w:t>
            </w:r>
          </w:p>
        </w:tc>
        <w:tc>
          <w:tcPr>
            <w:tcW w:type="dxa" w:w="1234"/>
          </w:tcPr>
          <w:p>
            <w:r>
              <w:rPr>
                <w:rFonts w:ascii="Calibri" w:hAnsi="Calibri"/>
                <w:b/>
                <w:color w:val="30A46C"/>
                <w:sz w:val="22"/>
              </w:rPr>
              <w:t>+7.1%</w:t>
            </w:r>
          </w:p>
        </w:tc>
        <w:tc>
          <w:tcPr>
            <w:tcW w:type="dxa" w:w="1234"/>
          </w:tcPr>
          <w:p>
            <w:r>
              <w:rPr>
                <w:rFonts w:ascii="Calibri" w:hAnsi="Calibri"/>
                <w:sz w:val="22"/>
              </w:rPr>
              <w:t>$1.64</w:t>
            </w:r>
          </w:p>
        </w:tc>
        <w:tc>
          <w:tcPr>
            <w:tcW w:type="dxa" w:w="1234"/>
          </w:tcPr>
          <w:p>
            <w:r>
              <w:rPr>
                <w:rFonts w:ascii="Calibri" w:hAnsi="Calibri"/>
                <w:sz w:val="22"/>
              </w:rPr>
              <w:t>$1.75</w:t>
            </w:r>
          </w:p>
        </w:tc>
        <w:tc>
          <w:tcPr>
            <w:tcW w:type="dxa" w:w="1234"/>
          </w:tcPr>
          <w:p>
            <w:r>
              <w:rPr>
                <w:rFonts w:ascii="Calibri" w:hAnsi="Calibri"/>
                <w:b/>
                <w:color w:val="E5484D"/>
                <w:sz w:val="22"/>
              </w:rPr>
              <w:t>-6.3%</w:t>
            </w:r>
          </w:p>
        </w:tc>
      </w:tr>
      <w:tr>
        <w:tc>
          <w:tcPr>
            <w:tcW w:type="dxa" w:w="1234"/>
          </w:tcPr>
          <w:p>
            <w:r>
              <w:rPr>
                <w:rFonts w:ascii="Calibri" w:hAnsi="Calibri"/>
                <w:sz w:val="22"/>
              </w:rPr>
              <w:t>Q3 2024</w:t>
            </w:r>
          </w:p>
        </w:tc>
        <w:tc>
          <w:tcPr>
            <w:tcW w:type="dxa" w:w="1234"/>
          </w:tcPr>
          <w:p>
            <w:r>
              <w:rPr>
                <w:rFonts w:ascii="Calibri" w:hAnsi="Calibri"/>
                <w:sz w:val="22"/>
              </w:rPr>
              <w:t>$531M</w:t>
            </w:r>
          </w:p>
        </w:tc>
        <w:tc>
          <w:tcPr>
            <w:tcW w:type="dxa" w:w="1234"/>
          </w:tcPr>
          <w:p>
            <w:r>
              <w:rPr>
                <w:rFonts w:ascii="Calibri" w:hAnsi="Calibri"/>
                <w:sz w:val="22"/>
              </w:rPr>
              <w:t>$518M</w:t>
            </w:r>
          </w:p>
        </w:tc>
        <w:tc>
          <w:tcPr>
            <w:tcW w:type="dxa" w:w="1234"/>
          </w:tcPr>
          <w:p>
            <w:r>
              <w:rPr>
                <w:rFonts w:ascii="Calibri" w:hAnsi="Calibri"/>
                <w:b/>
                <w:color w:val="30A46C"/>
                <w:sz w:val="22"/>
              </w:rPr>
              <w:t>+2.5%</w:t>
            </w:r>
          </w:p>
        </w:tc>
        <w:tc>
          <w:tcPr>
            <w:tcW w:type="dxa" w:w="1234"/>
          </w:tcPr>
          <w:p>
            <w:r>
              <w:rPr>
                <w:rFonts w:ascii="Calibri" w:hAnsi="Calibri"/>
                <w:sz w:val="22"/>
              </w:rPr>
              <w:t>$1.85</w:t>
            </w:r>
          </w:p>
        </w:tc>
        <w:tc>
          <w:tcPr>
            <w:tcW w:type="dxa" w:w="1234"/>
          </w:tcPr>
          <w:p>
            <w:r>
              <w:rPr>
                <w:rFonts w:ascii="Calibri" w:hAnsi="Calibri"/>
                <w:sz w:val="22"/>
              </w:rPr>
              <w:t>$1.73</w:t>
            </w:r>
          </w:p>
        </w:tc>
        <w:tc>
          <w:tcPr>
            <w:tcW w:type="dxa" w:w="1234"/>
          </w:tcPr>
          <w:p>
            <w:r>
              <w:rPr>
                <w:rFonts w:ascii="Calibri" w:hAnsi="Calibri"/>
                <w:b/>
                <w:color w:val="30A46C"/>
                <w:sz w:val="22"/>
              </w:rPr>
              <w:t>+6.9%</w:t>
            </w:r>
          </w:p>
        </w:tc>
      </w:tr>
      <w:tr>
        <w:tc>
          <w:tcPr>
            <w:tcW w:type="dxa" w:w="1234"/>
          </w:tcPr>
          <w:p>
            <w:r>
              <w:rPr>
                <w:rFonts w:ascii="Calibri" w:hAnsi="Calibri"/>
                <w:sz w:val="22"/>
              </w:rPr>
              <w:t>Q4 2024</w:t>
            </w:r>
          </w:p>
        </w:tc>
        <w:tc>
          <w:tcPr>
            <w:tcW w:type="dxa" w:w="1234"/>
          </w:tcPr>
          <w:p>
            <w:r>
              <w:rPr>
                <w:rFonts w:ascii="Calibri" w:hAnsi="Calibri"/>
                <w:sz w:val="22"/>
              </w:rPr>
              <w:t>$554M</w:t>
            </w:r>
          </w:p>
        </w:tc>
        <w:tc>
          <w:tcPr>
            <w:tcW w:type="dxa" w:w="1234"/>
          </w:tcPr>
          <w:p>
            <w:r>
              <w:rPr>
                <w:rFonts w:ascii="Calibri" w:hAnsi="Calibri"/>
                <w:sz w:val="22"/>
              </w:rPr>
              <w:t>$550M</w:t>
            </w:r>
          </w:p>
        </w:tc>
        <w:tc>
          <w:tcPr>
            <w:tcW w:type="dxa" w:w="1234"/>
          </w:tcPr>
          <w:p>
            <w:r>
              <w:rPr>
                <w:rFonts w:ascii="Calibri" w:hAnsi="Calibri"/>
                <w:b/>
                <w:color w:val="30A46C"/>
                <w:sz w:val="22"/>
              </w:rPr>
              <w:t>+0.7%</w:t>
            </w:r>
          </w:p>
        </w:tc>
        <w:tc>
          <w:tcPr>
            <w:tcW w:type="dxa" w:w="1234"/>
          </w:tcPr>
          <w:p>
            <w:r>
              <w:rPr>
                <w:rFonts w:ascii="Calibri" w:hAnsi="Calibri"/>
                <w:sz w:val="22"/>
              </w:rPr>
              <w:t>$2.22</w:t>
            </w:r>
          </w:p>
        </w:tc>
        <w:tc>
          <w:tcPr>
            <w:tcW w:type="dxa" w:w="1234"/>
          </w:tcPr>
          <w:p>
            <w:r>
              <w:rPr>
                <w:rFonts w:ascii="Calibri" w:hAnsi="Calibri"/>
                <w:sz w:val="22"/>
              </w:rPr>
              <w:t>$1.89</w:t>
            </w:r>
          </w:p>
        </w:tc>
        <w:tc>
          <w:tcPr>
            <w:tcW w:type="dxa" w:w="1234"/>
          </w:tcPr>
          <w:p>
            <w:r>
              <w:rPr>
                <w:rFonts w:ascii="Calibri" w:hAnsi="Calibri"/>
                <w:b/>
                <w:color w:val="30A46C"/>
                <w:sz w:val="22"/>
              </w:rPr>
              <w:t>+17.5%</w:t>
            </w:r>
          </w:p>
        </w:tc>
      </w:tr>
      <w:tr>
        <w:tc>
          <w:tcPr>
            <w:tcW w:type="dxa" w:w="1234"/>
          </w:tcPr>
          <w:p>
            <w:r>
              <w:rPr>
                <w:rFonts w:ascii="Calibri" w:hAnsi="Calibri"/>
                <w:sz w:val="22"/>
              </w:rPr>
              <w:t>Q1 2025</w:t>
            </w:r>
          </w:p>
        </w:tc>
        <w:tc>
          <w:tcPr>
            <w:tcW w:type="dxa" w:w="1234"/>
          </w:tcPr>
          <w:p>
            <w:r>
              <w:rPr>
                <w:rFonts w:ascii="Calibri" w:hAnsi="Calibri"/>
                <w:sz w:val="22"/>
              </w:rPr>
              <w:t>$559M</w:t>
            </w:r>
          </w:p>
        </w:tc>
        <w:tc>
          <w:tcPr>
            <w:tcW w:type="dxa" w:w="1234"/>
          </w:tcPr>
          <w:p>
            <w:r>
              <w:rPr>
                <w:rFonts w:ascii="Calibri" w:hAnsi="Calibri"/>
                <w:sz w:val="22"/>
              </w:rPr>
              <w:t>$549M</w:t>
            </w:r>
          </w:p>
        </w:tc>
        <w:tc>
          <w:tcPr>
            <w:tcW w:type="dxa" w:w="1234"/>
          </w:tcPr>
          <w:p>
            <w:r>
              <w:rPr>
                <w:rFonts w:ascii="Calibri" w:hAnsi="Calibri"/>
                <w:b/>
                <w:color w:val="30A46C"/>
                <w:sz w:val="22"/>
              </w:rPr>
              <w:t>+1.8%</w:t>
            </w:r>
          </w:p>
        </w:tc>
        <w:tc>
          <w:tcPr>
            <w:tcW w:type="dxa" w:w="1234"/>
          </w:tcPr>
          <w:p>
            <w:r>
              <w:rPr>
                <w:rFonts w:ascii="Calibri" w:hAnsi="Calibri"/>
                <w:sz w:val="22"/>
              </w:rPr>
              <w:t>$1.82</w:t>
            </w:r>
          </w:p>
        </w:tc>
        <w:tc>
          <w:tcPr>
            <w:tcW w:type="dxa" w:w="1234"/>
          </w:tcPr>
          <w:p>
            <w:r>
              <w:rPr>
                <w:rFonts w:ascii="Calibri" w:hAnsi="Calibri"/>
                <w:sz w:val="22"/>
              </w:rPr>
              <w:t>$1.86</w:t>
            </w:r>
          </w:p>
        </w:tc>
        <w:tc>
          <w:tcPr>
            <w:tcW w:type="dxa" w:w="1234"/>
          </w:tcPr>
          <w:p>
            <w:r>
              <w:rPr>
                <w:rFonts w:ascii="Calibri" w:hAnsi="Calibri"/>
                <w:b/>
                <w:color w:val="E5484D"/>
                <w:sz w:val="22"/>
              </w:rPr>
              <w:t>-2.2%</w:t>
            </w:r>
          </w:p>
        </w:tc>
      </w:tr>
      <w:tr>
        <w:tc>
          <w:tcPr>
            <w:tcW w:type="dxa" w:w="1234"/>
          </w:tcPr>
          <w:p>
            <w:r>
              <w:rPr>
                <w:rFonts w:ascii="Calibri" w:hAnsi="Calibri"/>
                <w:sz w:val="22"/>
              </w:rPr>
              <w:t>Q2 2025</w:t>
            </w:r>
          </w:p>
        </w:tc>
        <w:tc>
          <w:tcPr>
            <w:tcW w:type="dxa" w:w="1234"/>
          </w:tcPr>
          <w:p>
            <w:r>
              <w:rPr>
                <w:rFonts w:ascii="Calibri" w:hAnsi="Calibri"/>
                <w:sz w:val="22"/>
              </w:rPr>
              <w:t>$627M</w:t>
            </w:r>
          </w:p>
        </w:tc>
        <w:tc>
          <w:tcPr>
            <w:tcW w:type="dxa" w:w="1234"/>
          </w:tcPr>
          <w:p>
            <w:r>
              <w:rPr>
                <w:rFonts w:ascii="Calibri" w:hAnsi="Calibri"/>
                <w:sz w:val="22"/>
              </w:rPr>
              <w:t>$578M</w:t>
            </w:r>
          </w:p>
        </w:tc>
        <w:tc>
          <w:tcPr>
            <w:tcW w:type="dxa" w:w="1234"/>
          </w:tcPr>
          <w:p>
            <w:r>
              <w:rPr>
                <w:rFonts w:ascii="Calibri" w:hAnsi="Calibri"/>
                <w:b/>
                <w:color w:val="30A46C"/>
                <w:sz w:val="22"/>
              </w:rPr>
              <w:t>+8.5%</w:t>
            </w:r>
          </w:p>
        </w:tc>
        <w:tc>
          <w:tcPr>
            <w:tcW w:type="dxa" w:w="1234"/>
          </w:tcPr>
          <w:p>
            <w:r>
              <w:rPr>
                <w:rFonts w:ascii="Calibri" w:hAnsi="Calibri"/>
                <w:sz w:val="22"/>
              </w:rPr>
              <w:t>$1.92</w:t>
            </w:r>
          </w:p>
        </w:tc>
        <w:tc>
          <w:tcPr>
            <w:tcW w:type="dxa" w:w="1234"/>
          </w:tcPr>
          <w:p>
            <w:r>
              <w:rPr>
                <w:rFonts w:ascii="Calibri" w:hAnsi="Calibri"/>
                <w:sz w:val="22"/>
              </w:rPr>
              <w:t>$1.84</w:t>
            </w:r>
          </w:p>
        </w:tc>
        <w:tc>
          <w:tcPr>
            <w:tcW w:type="dxa" w:w="1234"/>
          </w:tcPr>
          <w:p>
            <w:r>
              <w:rPr>
                <w:rFonts w:ascii="Calibri" w:hAnsi="Calibri"/>
                <w:b/>
                <w:color w:val="30A46C"/>
                <w:sz w:val="22"/>
              </w:rPr>
              <w:t>+4.3%</w:t>
            </w:r>
          </w:p>
        </w:tc>
      </w:tr>
      <w:tr>
        <w:tc>
          <w:tcPr>
            <w:tcW w:type="dxa" w:w="1234"/>
          </w:tcPr>
          <w:p>
            <w:r>
              <w:rPr>
                <w:rFonts w:ascii="Calibri" w:hAnsi="Calibri"/>
                <w:sz w:val="22"/>
              </w:rPr>
              <w:t>Q3 2025</w:t>
            </w:r>
          </w:p>
        </w:tc>
        <w:tc>
          <w:tcPr>
            <w:tcW w:type="dxa" w:w="1234"/>
          </w:tcPr>
          <w:p>
            <w:r>
              <w:rPr>
                <w:rFonts w:ascii="Calibri" w:hAnsi="Calibri"/>
                <w:sz w:val="22"/>
              </w:rPr>
              <w:t>$652M</w:t>
            </w:r>
          </w:p>
        </w:tc>
        <w:tc>
          <w:tcPr>
            <w:tcW w:type="dxa" w:w="1234"/>
          </w:tcPr>
          <w:p>
            <w:r>
              <w:rPr>
                <w:rFonts w:ascii="Calibri" w:hAnsi="Calibri"/>
                <w:sz w:val="22"/>
              </w:rPr>
              <w:t>$627M</w:t>
            </w:r>
          </w:p>
        </w:tc>
        <w:tc>
          <w:tcPr>
            <w:tcW w:type="dxa" w:w="1234"/>
          </w:tcPr>
          <w:p>
            <w:r>
              <w:rPr>
                <w:rFonts w:ascii="Calibri" w:hAnsi="Calibri"/>
                <w:b/>
                <w:color w:val="30A46C"/>
                <w:sz w:val="22"/>
              </w:rPr>
              <w:t>+4.0%</w:t>
            </w:r>
          </w:p>
        </w:tc>
        <w:tc>
          <w:tcPr>
            <w:tcW w:type="dxa" w:w="1234"/>
          </w:tcPr>
          <w:p>
            <w:r>
              <w:rPr>
                <w:rFonts w:ascii="Calibri" w:hAnsi="Calibri"/>
                <w:sz w:val="22"/>
              </w:rPr>
              <w:t>$2.17</w:t>
            </w:r>
          </w:p>
        </w:tc>
        <w:tc>
          <w:tcPr>
            <w:tcW w:type="dxa" w:w="1234"/>
          </w:tcPr>
          <w:p>
            <w:r>
              <w:rPr>
                <w:rFonts w:ascii="Calibri" w:hAnsi="Calibri"/>
                <w:sz w:val="22"/>
              </w:rPr>
              <w:t>$1.91</w:t>
            </w:r>
          </w:p>
        </w:tc>
        <w:tc>
          <w:tcPr>
            <w:tcW w:type="dxa" w:w="1234"/>
          </w:tcPr>
          <w:p>
            <w:r>
              <w:rPr>
                <w:rFonts w:ascii="Calibri" w:hAnsi="Calibri"/>
                <w:b/>
                <w:color w:val="30A46C"/>
                <w:sz w:val="22"/>
              </w:rPr>
              <w:t>+13.6%</w:t>
            </w:r>
          </w:p>
        </w:tc>
      </w:tr>
      <w:tr>
        <w:tc>
          <w:tcPr>
            <w:tcW w:type="dxa" w:w="1234"/>
          </w:tcPr>
          <w:p>
            <w:r>
              <w:rPr>
                <w:rFonts w:ascii="Calibri" w:hAnsi="Calibri"/>
                <w:sz w:val="22"/>
              </w:rPr>
              <w:t>Q4 2025</w:t>
            </w:r>
          </w:p>
        </w:tc>
        <w:tc>
          <w:tcPr>
            <w:tcW w:type="dxa" w:w="1234"/>
          </w:tcPr>
          <w:p>
            <w:r>
              <w:rPr>
                <w:rFonts w:ascii="Calibri" w:hAnsi="Calibri"/>
                <w:sz w:val="22"/>
              </w:rPr>
              <w:t>$690M</w:t>
            </w:r>
          </w:p>
        </w:tc>
        <w:tc>
          <w:tcPr>
            <w:tcW w:type="dxa" w:w="1234"/>
          </w:tcPr>
          <w:p>
            <w:r>
              <w:rPr>
                <w:rFonts w:ascii="Calibri" w:hAnsi="Calibri"/>
                <w:sz w:val="22"/>
              </w:rPr>
              <w:t>$673M</w:t>
            </w:r>
          </w:p>
        </w:tc>
        <w:tc>
          <w:tcPr>
            <w:tcW w:type="dxa" w:w="1234"/>
          </w:tcPr>
          <w:p>
            <w:r>
              <w:rPr>
                <w:rFonts w:ascii="Calibri" w:hAnsi="Calibri"/>
                <w:b/>
                <w:color w:val="30A46C"/>
                <w:sz w:val="22"/>
              </w:rPr>
              <w:t>+2.5%</w:t>
            </w:r>
          </w:p>
        </w:tc>
        <w:tc>
          <w:tcPr>
            <w:tcW w:type="dxa" w:w="1234"/>
          </w:tcPr>
          <w:p>
            <w:r>
              <w:rPr>
                <w:rFonts w:ascii="Calibri" w:hAnsi="Calibri"/>
                <w:sz w:val="22"/>
              </w:rPr>
              <w:t>$2.47</w:t>
            </w:r>
          </w:p>
        </w:tc>
        <w:tc>
          <w:tcPr>
            <w:tcW w:type="dxa" w:w="1234"/>
          </w:tcPr>
          <w:p>
            <w:r>
              <w:rPr>
                <w:rFonts w:ascii="Calibri" w:hAnsi="Calibri"/>
                <w:sz w:val="22"/>
              </w:rPr>
              <w:t>$2.03</w:t>
            </w:r>
          </w:p>
        </w:tc>
        <w:tc>
          <w:tcPr>
            <w:tcW w:type="dxa" w:w="1234"/>
          </w:tcPr>
          <w:p>
            <w:r>
              <w:rPr>
                <w:rFonts w:ascii="Calibri" w:hAnsi="Calibri"/>
                <w:b/>
                <w:color w:val="30A46C"/>
                <w:sz w:val="22"/>
              </w:rPr>
              <w:t>+21.7%</w:t>
            </w:r>
          </w:p>
        </w:tc>
      </w:tr>
      <w:tr>
        <w:tc>
          <w:tcPr>
            <w:tcW w:type="dxa" w:w="1234"/>
          </w:tcPr>
          <w:p>
            <w:r>
              <w:rPr>
                <w:rFonts w:ascii="Calibri" w:hAnsi="Calibri"/>
                <w:sz w:val="22"/>
              </w:rPr>
              <w:t>Q1 2026</w:t>
            </w:r>
          </w:p>
        </w:tc>
        <w:tc>
          <w:tcPr>
            <w:tcW w:type="dxa" w:w="1234"/>
          </w:tcPr>
          <w:p>
            <w:r>
              <w:rPr>
                <w:rFonts w:ascii="Calibri" w:hAnsi="Calibri"/>
                <w:sz w:val="22"/>
              </w:rPr>
              <w:t>$728M</w:t>
            </w:r>
          </w:p>
        </w:tc>
        <w:tc>
          <w:tcPr>
            <w:tcW w:type="dxa" w:w="1234"/>
          </w:tcPr>
          <w:p>
            <w:r>
              <w:rPr>
                <w:rFonts w:ascii="Calibri" w:hAnsi="Calibri"/>
                <w:sz w:val="22"/>
              </w:rPr>
              <w:t>$692M</w:t>
            </w:r>
          </w:p>
        </w:tc>
        <w:tc>
          <w:tcPr>
            <w:tcW w:type="dxa" w:w="1234"/>
          </w:tcPr>
          <w:p>
            <w:r>
              <w:rPr>
                <w:rFonts w:ascii="Calibri" w:hAnsi="Calibri"/>
                <w:b/>
                <w:color w:val="30A46C"/>
                <w:sz w:val="22"/>
              </w:rPr>
              <w:t>+5.2%</w:t>
            </w:r>
          </w:p>
        </w:tc>
        <w:tc>
          <w:tcPr>
            <w:tcW w:type="dxa" w:w="1234"/>
          </w:tcPr>
          <w:p>
            <w:r>
              <w:rPr>
                <w:rFonts w:ascii="Calibri" w:hAnsi="Calibri"/>
                <w:sz w:val="22"/>
              </w:rPr>
              <w:t>$1.94</w:t>
            </w:r>
          </w:p>
        </w:tc>
        <w:tc>
          <w:tcPr>
            <w:tcW w:type="dxa" w:w="1234"/>
          </w:tcPr>
          <w:p>
            <w:r>
              <w:rPr>
                <w:rFonts w:ascii="Calibri" w:hAnsi="Calibri"/>
                <w:sz w:val="22"/>
              </w:rPr>
              <w:t>$1.88</w:t>
            </w:r>
          </w:p>
        </w:tc>
        <w:tc>
          <w:tcPr>
            <w:tcW w:type="dxa" w:w="1234"/>
          </w:tcPr>
          <w:p>
            <w:r>
              <w:rPr>
                <w:rFonts w:ascii="Calibri" w:hAnsi="Calibri"/>
                <w:b/>
                <w:color w:val="30A46C"/>
                <w:sz w:val="22"/>
              </w:rPr>
              <w:t>+3.2%</w:t>
            </w:r>
          </w:p>
        </w:tc>
      </w:tr>
    </w:tbl>
    <w:p>
      <w:r>
        <w:rPr>
          <w:rFonts w:ascii="Calibri" w:hAnsi="Calibri"/>
          <w:i/>
          <w:color w:val="525866"/>
          <w:sz w:val="22"/>
        </w:rPr>
        <w:t>¹ Visible Alpha consensus estimates (as of latest available prior to reporting date).</w:t>
      </w:r>
    </w:p>
    <w:p>
      <w:r>
        <w:rPr>
          <w:rFonts w:ascii="Calibri" w:hAnsi="Calibri"/>
          <w:b/>
          <w:color w:val="525866"/>
          <w:sz w:val="22"/>
        </w:rPr>
        <w:t xml:space="preserve">Pattern: </w:t>
      </w:r>
      <w:r>
        <w:rPr>
          <w:rFonts w:ascii="Calibri" w:hAnsi="Calibri"/>
          <w:color w:val="525866"/>
          <w:sz w:val="22"/>
        </w:rPr>
        <w:t>APO has beaten FRE consensus in all 8 of the last 8 quarters, with an average beat of ~4%; EPS beats have been more variable, with large beats in Q4 2024 and Q4 2025 driven by strong alts returns. The consistent FRE beat pattern suggests the Street systematically underestimates management fee and ACS fee growth.</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Full-year 2026 guidance (20% FRE growth, 10% SRE growth) was reaffirmed at Q1 earnings and has not been formally revised since. The Athene Fixed Income Investor Call (May 15) provided incremental transparency on portfolio composition but no formal guidance change.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¹</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FRE Growth (FY 2026)</w:t>
            </w:r>
          </w:p>
        </w:tc>
        <w:tc>
          <w:tcPr>
            <w:tcW w:type="dxa" w:w="1728"/>
          </w:tcPr>
          <w:p>
            <w:r>
              <w:rPr>
                <w:rFonts w:ascii="Calibri" w:hAnsi="Calibri"/>
                <w:sz w:val="22"/>
              </w:rPr>
              <w:t>20%+ YoY</w:t>
            </w:r>
          </w:p>
        </w:tc>
        <w:tc>
          <w:tcPr>
            <w:tcW w:type="dxa" w:w="1728"/>
          </w:tcPr>
          <w:p>
            <w:r>
              <w:rPr>
                <w:rFonts w:ascii="Calibri" w:hAnsi="Calibri"/>
                <w:sz w:val="22"/>
              </w:rPr>
              <w:t>—</w:t>
            </w:r>
          </w:p>
        </w:tc>
        <w:tc>
          <w:tcPr>
            <w:tcW w:type="dxa" w:w="1728"/>
          </w:tcPr>
          <w:p>
            <w:r>
              <w:rPr>
                <w:rFonts w:ascii="Calibri" w:hAnsi="Calibri"/>
                <w:sz w:val="22"/>
              </w:rPr>
              <w:t>~20% YoY ($3.11B)</w:t>
            </w:r>
          </w:p>
        </w:tc>
        <w:tc>
          <w:tcPr>
            <w:tcW w:type="dxa" w:w="1728"/>
          </w:tcPr>
          <w:p>
            <w:r>
              <w:rPr>
                <w:rFonts w:ascii="Calibri" w:hAnsi="Calibri"/>
                <w:sz w:val="22"/>
              </w:rPr>
              <w:t>Reaffirmed; 75% from existing businesses, 25% from new initiatives</w:t>
            </w:r>
          </w:p>
        </w:tc>
      </w:tr>
      <w:tr>
        <w:tc>
          <w:tcPr>
            <w:tcW w:type="dxa" w:w="1728"/>
          </w:tcPr>
          <w:p>
            <w:r>
              <w:rPr>
                <w:rFonts w:ascii="Calibri" w:hAnsi="Calibri"/>
                <w:sz w:val="22"/>
              </w:rPr>
              <w:t>SRE Growth (FY 2026)</w:t>
            </w:r>
          </w:p>
        </w:tc>
        <w:tc>
          <w:tcPr>
            <w:tcW w:type="dxa" w:w="1728"/>
          </w:tcPr>
          <w:p>
            <w:r>
              <w:rPr>
                <w:rFonts w:ascii="Calibri" w:hAnsi="Calibri"/>
                <w:sz w:val="22"/>
              </w:rPr>
              <w:t>10% YoY (assuming 11% alts return)</w:t>
            </w:r>
          </w:p>
        </w:tc>
        <w:tc>
          <w:tcPr>
            <w:tcW w:type="dxa" w:w="1728"/>
          </w:tcPr>
          <w:p>
            <w:r>
              <w:rPr>
                <w:rFonts w:ascii="Calibri" w:hAnsi="Calibri"/>
                <w:sz w:val="22"/>
              </w:rPr>
              <w:t>—</w:t>
            </w:r>
          </w:p>
        </w:tc>
        <w:tc>
          <w:tcPr>
            <w:tcW w:type="dxa" w:w="1728"/>
          </w:tcPr>
          <w:p>
            <w:r>
              <w:rPr>
                <w:rFonts w:ascii="Calibri" w:hAnsi="Calibri"/>
                <w:sz w:val="22"/>
              </w:rPr>
              <w:t>~10% YoY ($3.58B)</w:t>
            </w:r>
          </w:p>
        </w:tc>
        <w:tc>
          <w:tcPr>
            <w:tcW w:type="dxa" w:w="1728"/>
          </w:tcPr>
          <w:p>
            <w:r>
              <w:rPr>
                <w:rFonts w:ascii="Calibri" w:hAnsi="Calibri"/>
                <w:sz w:val="22"/>
              </w:rPr>
              <w:t>Reaffirmed; Q2 alts pre-announced at 9% annualized, below 11% assumption</w:t>
            </w:r>
          </w:p>
        </w:tc>
      </w:tr>
      <w:tr>
        <w:tc>
          <w:tcPr>
            <w:tcW w:type="dxa" w:w="1728"/>
          </w:tcPr>
          <w:p>
            <w:r>
              <w:rPr>
                <w:rFonts w:ascii="Calibri" w:hAnsi="Calibri"/>
                <w:sz w:val="22"/>
              </w:rPr>
              <w:t>Net Spread (FY 2026)</w:t>
            </w:r>
          </w:p>
        </w:tc>
        <w:tc>
          <w:tcPr>
            <w:tcW w:type="dxa" w:w="1728"/>
          </w:tcPr>
          <w:p>
            <w:r>
              <w:rPr>
                <w:rFonts w:ascii="Calibri" w:hAnsi="Calibri"/>
                <w:sz w:val="22"/>
              </w:rPr>
              <w:t>120–125bps (assuming 11% alts return)</w:t>
            </w:r>
          </w:p>
        </w:tc>
        <w:tc>
          <w:tcPr>
            <w:tcW w:type="dxa" w:w="1728"/>
          </w:tcPr>
          <w:p>
            <w:r>
              <w:rPr>
                <w:rFonts w:ascii="Calibri" w:hAnsi="Calibri"/>
                <w:sz w:val="22"/>
              </w:rPr>
              <w:t>—</w:t>
            </w:r>
          </w:p>
        </w:tc>
        <w:tc>
          <w:tcPr>
            <w:tcW w:type="dxa" w:w="1728"/>
          </w:tcPr>
          <w:p>
            <w:r>
              <w:rPr>
                <w:rFonts w:ascii="Calibri" w:hAnsi="Calibri"/>
                <w:sz w:val="22"/>
              </w:rPr>
              <w:t>~115bps</w:t>
            </w:r>
          </w:p>
        </w:tc>
        <w:tc>
          <w:tcPr>
            <w:tcW w:type="dxa" w:w="1728"/>
          </w:tcPr>
          <w:p>
            <w:r>
              <w:rPr>
                <w:rFonts w:ascii="Calibri" w:hAnsi="Calibri"/>
                <w:sz w:val="22"/>
              </w:rPr>
              <w:t>Consensus slightly below guidance midpoint; Q1 actual was 97bps (alts drag)</w:t>
            </w:r>
          </w:p>
        </w:tc>
      </w:tr>
      <w:tr>
        <w:tc>
          <w:tcPr>
            <w:tcW w:type="dxa" w:w="1728"/>
          </w:tcPr>
          <w:p>
            <w:r>
              <w:rPr>
                <w:rFonts w:ascii="Calibri" w:hAnsi="Calibri"/>
                <w:sz w:val="22"/>
              </w:rPr>
              <w:t>Q2 Origination</w:t>
            </w:r>
          </w:p>
        </w:tc>
        <w:tc>
          <w:tcPr>
            <w:tcW w:type="dxa" w:w="1728"/>
          </w:tcPr>
          <w:p>
            <w:r>
              <w:rPr>
                <w:rFonts w:ascii="Calibri" w:hAnsi="Calibri"/>
                <w:sz w:val="22"/>
              </w:rPr>
              <w:t>"Even stronger than Q1 ($71B), potentially approaching $97B record" (CEO Rowan)</w:t>
            </w:r>
          </w:p>
        </w:tc>
        <w:tc>
          <w:tcPr>
            <w:tcW w:type="dxa" w:w="1728"/>
          </w:tcPr>
          <w:p>
            <w:r>
              <w:rPr>
                <w:rFonts w:ascii="Calibri" w:hAnsi="Calibri"/>
                <w:sz w:val="22"/>
              </w:rPr>
              <w:t>—</w:t>
            </w:r>
          </w:p>
        </w:tc>
        <w:tc>
          <w:tcPr>
            <w:tcW w:type="dxa" w:w="1728"/>
          </w:tcPr>
          <w:p>
            <w:r>
              <w:rPr>
                <w:rFonts w:ascii="Calibri" w:hAnsi="Calibri"/>
                <w:sz w:val="22"/>
              </w:rPr>
              <w:t>~$97B</w:t>
            </w:r>
          </w:p>
        </w:tc>
        <w:tc>
          <w:tcPr>
            <w:tcW w:type="dxa" w:w="1728"/>
          </w:tcPr>
          <w:p>
            <w:r>
              <w:rPr>
                <w:rFonts w:ascii="Calibri" w:hAnsi="Calibri"/>
                <w:sz w:val="22"/>
              </w:rPr>
              <w:t>CEO explicitly guided to potential record quarter; consensus has converged to this level</w:t>
            </w:r>
          </w:p>
        </w:tc>
      </w:tr>
      <w:tr>
        <w:tc>
          <w:tcPr>
            <w:tcW w:type="dxa" w:w="1728"/>
          </w:tcPr>
          <w:p>
            <w:r>
              <w:rPr>
                <w:rFonts w:ascii="Calibri" w:hAnsi="Calibri"/>
                <w:sz w:val="22"/>
              </w:rPr>
              <w:t>Q2 Alt NII</w:t>
            </w:r>
          </w:p>
        </w:tc>
        <w:tc>
          <w:tcPr>
            <w:tcW w:type="dxa" w:w="1728"/>
          </w:tcPr>
          <w:p>
            <w:r>
              <w:rPr>
                <w:rFonts w:ascii="Calibri" w:hAnsi="Calibri"/>
                <w:sz w:val="22"/>
              </w:rPr>
              <w:t>Not guided (LT assumption: 11% annualized return)</w:t>
            </w:r>
          </w:p>
        </w:tc>
        <w:tc>
          <w:tcPr>
            <w:tcW w:type="dxa" w:w="1728"/>
          </w:tcPr>
          <w:p>
            <w:r>
              <w:rPr>
                <w:rFonts w:ascii="Calibri" w:hAnsi="Calibri"/>
                <w:sz w:val="22"/>
              </w:rPr>
              <w:t>~$350M pre-tax (9% annualized)</w:t>
            </w:r>
          </w:p>
        </w:tc>
        <w:tc>
          <w:tcPr>
            <w:tcW w:type="dxa" w:w="1728"/>
          </w:tcPr>
          <w:p>
            <w:r>
              <w:rPr>
                <w:rFonts w:ascii="Calibri" w:hAnsi="Calibri"/>
                <w:sz w:val="22"/>
              </w:rPr>
              <w:t>N/A</w:t>
            </w:r>
          </w:p>
        </w:tc>
        <w:tc>
          <w:tcPr>
            <w:tcW w:type="dxa" w:w="1728"/>
          </w:tcPr>
          <w:p>
            <w:r>
              <w:rPr>
                <w:rFonts w:ascii="Calibri" w:hAnsi="Calibri"/>
                <w:sz w:val="22"/>
              </w:rPr>
              <w:t>↓ Pre-announced July 1 via 8-K; below 11% LT assumption, implies SRE headwind vs. normalized level</w:t>
            </w:r>
          </w:p>
        </w:tc>
      </w:tr>
    </w:tbl>
    <w:p>
      <w:r>
        <w:rPr>
          <w:rFonts w:ascii="Calibri" w:hAnsi="Calibri"/>
          <w:i/>
          <w:color w:val="525866"/>
          <w:sz w:val="22"/>
        </w:rPr>
        <w:t>¹ Visible Alpha consensus estimates.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FRE estimates have been essentially unchanged since Q1 earnings, tracking guidance well. SRE estimates have drifted ~4% lower for Q2, reflecting the Q2 alts pre-announcement below the 11% long-term assumption. The gap between SRE consensus and guidance is the key risk/cushion to watch.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w:t>
            </w:r>
          </w:p>
        </w:tc>
        <w:tc>
          <w:tcPr>
            <w:tcW w:type="dxa" w:w="1080"/>
            <w:shd w:val="clear" w:color="auto" w:fill="3B4259"/>
          </w:tcPr>
          <w:p>
            <w:r>
              <w:rPr>
                <w:rFonts w:ascii="Calibri" w:hAnsi="Calibri"/>
                <w:b/>
                <w:color w:val="FFFFFF"/>
                <w:sz w:val="22"/>
              </w:rPr>
              <w:t>Period</w:t>
            </w:r>
          </w:p>
        </w:tc>
        <w:tc>
          <w:tcPr>
            <w:tcW w:type="dxa" w:w="1080"/>
            <w:shd w:val="clear" w:color="auto" w:fill="3B4259"/>
          </w:tcPr>
          <w:p>
            <w:r>
              <w:rPr>
                <w:rFonts w:ascii="Calibri" w:hAnsi="Calibri"/>
                <w:b/>
                <w:color w:val="FFFFFF"/>
                <w:sz w:val="22"/>
              </w:rPr>
              <w:t>Estimate (May 13, 2026) ¹</w:t>
            </w:r>
          </w:p>
        </w:tc>
        <w:tc>
          <w:tcPr>
            <w:tcW w:type="dxa" w:w="1080"/>
            <w:shd w:val="clear" w:color="auto" w:fill="3B4259"/>
          </w:tcPr>
          <w:p>
            <w:r>
              <w:rPr>
                <w:rFonts w:ascii="Calibri" w:hAnsi="Calibri"/>
                <w:b/>
                <w:color w:val="FFFFFF"/>
                <w:sz w:val="22"/>
              </w:rPr>
              <w:t>Current Consensus ¹</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FRE</w:t>
            </w:r>
          </w:p>
        </w:tc>
        <w:tc>
          <w:tcPr>
            <w:tcW w:type="dxa" w:w="1080"/>
          </w:tcPr>
          <w:p>
            <w:r>
              <w:rPr>
                <w:rFonts w:ascii="Calibri" w:hAnsi="Calibri"/>
                <w:sz w:val="22"/>
              </w:rPr>
              <w:t>Q2 2026</w:t>
            </w:r>
          </w:p>
        </w:tc>
        <w:tc>
          <w:tcPr>
            <w:tcW w:type="dxa" w:w="1080"/>
          </w:tcPr>
          <w:p>
            <w:r>
              <w:rPr>
                <w:rFonts w:ascii="Calibri" w:hAnsi="Calibri"/>
                <w:sz w:val="22"/>
              </w:rPr>
              <w:t>$769M</w:t>
            </w:r>
          </w:p>
        </w:tc>
        <w:tc>
          <w:tcPr>
            <w:tcW w:type="dxa" w:w="1080"/>
          </w:tcPr>
          <w:p>
            <w:r>
              <w:rPr>
                <w:rFonts w:ascii="Calibri" w:hAnsi="Calibri"/>
                <w:sz w:val="22"/>
              </w:rPr>
              <w:t>$767M</w:t>
            </w:r>
          </w:p>
        </w:tc>
        <w:tc>
          <w:tcPr>
            <w:tcW w:type="dxa" w:w="1080"/>
          </w:tcPr>
          <w:p>
            <w:r>
              <w:rPr>
                <w:rFonts w:ascii="Calibri" w:hAnsi="Calibri"/>
                <w:sz w:val="22"/>
              </w:rPr>
              <w:t>-0.3%</w:t>
            </w:r>
          </w:p>
        </w:tc>
        <w:tc>
          <w:tcPr>
            <w:tcW w:type="dxa" w:w="1080"/>
          </w:tcPr>
          <w:p>
            <w:r>
              <w:rPr>
                <w:rFonts w:ascii="Calibri" w:hAnsi="Calibri"/>
                <w:sz w:val="22"/>
              </w:rPr>
              <w:t>20%+ FY growth</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FRE</w:t>
            </w:r>
          </w:p>
        </w:tc>
        <w:tc>
          <w:tcPr>
            <w:tcW w:type="dxa" w:w="1080"/>
          </w:tcPr>
          <w:p>
            <w:r>
              <w:rPr>
                <w:rFonts w:ascii="Calibri" w:hAnsi="Calibri"/>
                <w:sz w:val="22"/>
              </w:rPr>
              <w:t>FY 2026</w:t>
            </w:r>
          </w:p>
        </w:tc>
        <w:tc>
          <w:tcPr>
            <w:tcW w:type="dxa" w:w="1080"/>
          </w:tcPr>
          <w:p>
            <w:r>
              <w:rPr>
                <w:rFonts w:ascii="Calibri" w:hAnsi="Calibri"/>
                <w:sz w:val="22"/>
              </w:rPr>
              <w:t>$3,113M</w:t>
            </w:r>
          </w:p>
        </w:tc>
        <w:tc>
          <w:tcPr>
            <w:tcW w:type="dxa" w:w="1080"/>
          </w:tcPr>
          <w:p>
            <w:r>
              <w:rPr>
                <w:rFonts w:ascii="Calibri" w:hAnsi="Calibri"/>
                <w:sz w:val="22"/>
              </w:rPr>
              <w:t>$3,109M</w:t>
            </w:r>
          </w:p>
        </w:tc>
        <w:tc>
          <w:tcPr>
            <w:tcW w:type="dxa" w:w="1080"/>
          </w:tcPr>
          <w:p>
            <w:r>
              <w:rPr>
                <w:rFonts w:ascii="Calibri" w:hAnsi="Calibri"/>
                <w:sz w:val="22"/>
              </w:rPr>
              <w:t>-0.1%</w:t>
            </w:r>
          </w:p>
        </w:tc>
        <w:tc>
          <w:tcPr>
            <w:tcW w:type="dxa" w:w="1080"/>
          </w:tcPr>
          <w:p>
            <w:r>
              <w:rPr>
                <w:rFonts w:ascii="Calibri" w:hAnsi="Calibri"/>
                <w:sz w:val="22"/>
              </w:rPr>
              <w:t>20%+ growth</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SRE (Operating)</w:t>
            </w:r>
          </w:p>
        </w:tc>
        <w:tc>
          <w:tcPr>
            <w:tcW w:type="dxa" w:w="1080"/>
          </w:tcPr>
          <w:p>
            <w:r>
              <w:rPr>
                <w:rFonts w:ascii="Calibri" w:hAnsi="Calibri"/>
                <w:sz w:val="22"/>
              </w:rPr>
              <w:t>Q2 2026</w:t>
            </w:r>
          </w:p>
        </w:tc>
        <w:tc>
          <w:tcPr>
            <w:tcW w:type="dxa" w:w="1080"/>
          </w:tcPr>
          <w:p>
            <w:r>
              <w:rPr>
                <w:rFonts w:ascii="Calibri" w:hAnsi="Calibri"/>
                <w:sz w:val="22"/>
              </w:rPr>
              <w:t>$910M</w:t>
            </w:r>
          </w:p>
        </w:tc>
        <w:tc>
          <w:tcPr>
            <w:tcW w:type="dxa" w:w="1080"/>
          </w:tcPr>
          <w:p>
            <w:r>
              <w:rPr>
                <w:rFonts w:ascii="Calibri" w:hAnsi="Calibri"/>
                <w:sz w:val="22"/>
              </w:rPr>
              <w:t>$872M</w:t>
            </w:r>
          </w:p>
        </w:tc>
        <w:tc>
          <w:tcPr>
            <w:tcW w:type="dxa" w:w="1080"/>
          </w:tcPr>
          <w:p>
            <w:r>
              <w:rPr>
                <w:rFonts w:ascii="Calibri" w:hAnsi="Calibri"/>
                <w:b/>
                <w:color w:val="E5484D"/>
                <w:sz w:val="22"/>
              </w:rPr>
              <w:t>-4.2%</w:t>
            </w:r>
          </w:p>
        </w:tc>
        <w:tc>
          <w:tcPr>
            <w:tcW w:type="dxa" w:w="1080"/>
          </w:tcPr>
          <w:p>
            <w:r>
              <w:rPr>
                <w:rFonts w:ascii="Calibri" w:hAnsi="Calibri"/>
                <w:sz w:val="22"/>
              </w:rPr>
              <w:t>10% FY growth</w:t>
            </w:r>
          </w:p>
        </w:tc>
        <w:tc>
          <w:tcPr>
            <w:tcW w:type="dxa" w:w="1080"/>
          </w:tcPr>
          <w:p>
            <w:r>
              <w:rPr>
                <w:rFonts w:ascii="Calibri" w:hAnsi="Calibri"/>
                <w:sz w:val="22"/>
              </w:rPr>
              <w:t>Unchanged</w:t>
            </w:r>
          </w:p>
        </w:tc>
        <w:tc>
          <w:tcPr>
            <w:tcW w:type="dxa" w:w="1080"/>
          </w:tcPr>
          <w:p>
            <w:r>
              <w:rPr>
                <w:rFonts w:ascii="Calibri" w:hAnsi="Calibri"/>
                <w:sz w:val="22"/>
              </w:rPr>
              <w:t>Slightly below</w:t>
            </w:r>
          </w:p>
        </w:tc>
      </w:tr>
      <w:tr>
        <w:tc>
          <w:tcPr>
            <w:tcW w:type="dxa" w:w="1080"/>
          </w:tcPr>
          <w:p>
            <w:r>
              <w:rPr>
                <w:rFonts w:ascii="Calibri" w:hAnsi="Calibri"/>
                <w:sz w:val="22"/>
              </w:rPr>
              <w:t>SRE (Operating)</w:t>
            </w:r>
          </w:p>
        </w:tc>
        <w:tc>
          <w:tcPr>
            <w:tcW w:type="dxa" w:w="1080"/>
          </w:tcPr>
          <w:p>
            <w:r>
              <w:rPr>
                <w:rFonts w:ascii="Calibri" w:hAnsi="Calibri"/>
                <w:sz w:val="22"/>
              </w:rPr>
              <w:t>FY 2026</w:t>
            </w:r>
          </w:p>
        </w:tc>
        <w:tc>
          <w:tcPr>
            <w:tcW w:type="dxa" w:w="1080"/>
          </w:tcPr>
          <w:p>
            <w:r>
              <w:rPr>
                <w:rFonts w:ascii="Calibri" w:hAnsi="Calibri"/>
                <w:sz w:val="22"/>
              </w:rPr>
              <w:t>$3,580M</w:t>
            </w:r>
          </w:p>
        </w:tc>
        <w:tc>
          <w:tcPr>
            <w:tcW w:type="dxa" w:w="1080"/>
          </w:tcPr>
          <w:p>
            <w:r>
              <w:rPr>
                <w:rFonts w:ascii="Calibri" w:hAnsi="Calibri"/>
                <w:sz w:val="22"/>
              </w:rPr>
              <w:t>$3,510M</w:t>
            </w:r>
          </w:p>
        </w:tc>
        <w:tc>
          <w:tcPr>
            <w:tcW w:type="dxa" w:w="1080"/>
          </w:tcPr>
          <w:p>
            <w:r>
              <w:rPr>
                <w:rFonts w:ascii="Calibri" w:hAnsi="Calibri"/>
                <w:b/>
                <w:color w:val="E5484D"/>
                <w:sz w:val="22"/>
              </w:rPr>
              <w:t>-2.0%</w:t>
            </w:r>
          </w:p>
        </w:tc>
        <w:tc>
          <w:tcPr>
            <w:tcW w:type="dxa" w:w="1080"/>
          </w:tcPr>
          <w:p>
            <w:r>
              <w:rPr>
                <w:rFonts w:ascii="Calibri" w:hAnsi="Calibri"/>
                <w:sz w:val="22"/>
              </w:rPr>
              <w:t>10% growth</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Distributable EPS</w:t>
            </w:r>
          </w:p>
        </w:tc>
        <w:tc>
          <w:tcPr>
            <w:tcW w:type="dxa" w:w="1080"/>
          </w:tcPr>
          <w:p>
            <w:r>
              <w:rPr>
                <w:rFonts w:ascii="Calibri" w:hAnsi="Calibri"/>
                <w:sz w:val="22"/>
              </w:rPr>
              <w:t>Q2 2026</w:t>
            </w:r>
          </w:p>
        </w:tc>
        <w:tc>
          <w:tcPr>
            <w:tcW w:type="dxa" w:w="1080"/>
          </w:tcPr>
          <w:p>
            <w:r>
              <w:rPr>
                <w:rFonts w:ascii="Calibri" w:hAnsi="Calibri"/>
                <w:sz w:val="22"/>
              </w:rPr>
              <w:t>$2.21</w:t>
            </w:r>
          </w:p>
        </w:tc>
        <w:tc>
          <w:tcPr>
            <w:tcW w:type="dxa" w:w="1080"/>
          </w:tcPr>
          <w:p>
            <w:r>
              <w:rPr>
                <w:rFonts w:ascii="Calibri" w:hAnsi="Calibri"/>
                <w:sz w:val="22"/>
              </w:rPr>
              <w:t>$2.16</w:t>
            </w:r>
          </w:p>
        </w:tc>
        <w:tc>
          <w:tcPr>
            <w:tcW w:type="dxa" w:w="1080"/>
          </w:tcPr>
          <w:p>
            <w:r>
              <w:rPr>
                <w:rFonts w:ascii="Calibri" w:hAnsi="Calibri"/>
                <w:b/>
                <w:color w:val="E5484D"/>
                <w:sz w:val="22"/>
              </w:rPr>
              <w:t>-2.3%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Distributable EPS</w:t>
            </w:r>
          </w:p>
        </w:tc>
        <w:tc>
          <w:tcPr>
            <w:tcW w:type="dxa" w:w="1080"/>
          </w:tcPr>
          <w:p>
            <w:r>
              <w:rPr>
                <w:rFonts w:ascii="Calibri" w:hAnsi="Calibri"/>
                <w:sz w:val="22"/>
              </w:rPr>
              <w:t>FY 2026</w:t>
            </w:r>
          </w:p>
        </w:tc>
        <w:tc>
          <w:tcPr>
            <w:tcW w:type="dxa" w:w="1080"/>
          </w:tcPr>
          <w:p>
            <w:r>
              <w:rPr>
                <w:rFonts w:ascii="Calibri" w:hAnsi="Calibri"/>
                <w:sz w:val="22"/>
              </w:rPr>
              <w:t>$8.97</w:t>
            </w:r>
          </w:p>
        </w:tc>
        <w:tc>
          <w:tcPr>
            <w:tcW w:type="dxa" w:w="1080"/>
          </w:tcPr>
          <w:p>
            <w:r>
              <w:rPr>
                <w:rFonts w:ascii="Calibri" w:hAnsi="Calibri"/>
                <w:sz w:val="22"/>
              </w:rPr>
              <w:t>$8.84</w:t>
            </w:r>
          </w:p>
        </w:tc>
        <w:tc>
          <w:tcPr>
            <w:tcW w:type="dxa" w:w="1080"/>
          </w:tcPr>
          <w:p>
            <w:r>
              <w:rPr>
                <w:rFonts w:ascii="Calibri" w:hAnsi="Calibri"/>
                <w:b/>
                <w:color w:val="E5484D"/>
                <w:sz w:val="22"/>
              </w:rPr>
              <w:t>-1.4%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¹ Visible Alpha consensus estimates. May 13, 2026 = 5 trading days post Q1 2026 earnings (May 6, 2026).</w:t>
      </w:r>
    </w:p>
    <w:p>
      <w:r>
        <w:rPr>
          <w:rFonts w:ascii="Calibri" w:hAnsi="Calibri"/>
          <w:color w:val="525866"/>
          <w:sz w:val="22"/>
        </w:rPr>
        <w:t>SRE estimates have drifted ~4% lower for Q2 since the Q1 print, consistent with the Q2 alts pre-announcement of 9% vs. the 11% long-term assumption. FRE estimates are essentially unchanged, suggesting the Street is comfortable with the 20% growth trajectory. The key question is whether record origination (if confirmed) drives ACS fees above the $246M Q1 record, which would be a positive FRE catalyst not yet in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APO is essentially flat since Q1 earnings (+0% vs. +3% for SPY), having significantly underperformed the insurance ETF KIE (+15%), suggesting the market is discounting Athene's spread business. The sharp late-June selloff (stock hit ~$115 on June 29) and subsequent recovery to ~$129 heading into earnings creates a cleaner setup.</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APO vs. KIE (SPDR S&amp;P Insurance ETF) vs. S&amp;P 500 (SPY) — Indexed to 100 at Q1 2026 Earnings (May 6, 2026). Source: Yahoo Finance.</w:t>
      </w:r>
    </w:p>
    <w:p>
      <w:r>
        <w:rPr>
          <w:rFonts w:ascii="Calibri" w:hAnsi="Calibri"/>
          <w:b/>
          <w:color w:val="525866"/>
          <w:sz w:val="22"/>
        </w:rPr>
        <w:t xml:space="preserve">Sector ETF: </w:t>
      </w:r>
      <w:r>
        <w:rPr>
          <w:rFonts w:ascii="Calibri" w:hAnsi="Calibri"/>
          <w:color w:val="525866"/>
          <w:sz w:val="22"/>
        </w:rPr>
        <w:t>KIE (SPDR S&amp;P Insurance ETF) is used as the sector proxy, appropriate given Athene's significance to APO's earnings and the insurance-linked nature of the retirement services business.</w:t>
      </w:r>
    </w:p>
    <w:p>
      <w:pPr>
        <w:pStyle w:val="ListBullet"/>
        <w:ind w:left="360" w:hanging="360"/>
      </w:pPr>
      <w:r>
        <w:rPr>
          <w:rFonts w:ascii="Calibri" w:hAnsi="Calibri"/>
          <w:b/>
          <w:color w:val="525866"/>
          <w:sz w:val="22"/>
        </w:rPr>
        <w:t>APO peaked at ~$139 in mid-June</w:t>
      </w:r>
      <w:r>
        <w:rPr>
          <w:rFonts w:ascii="Calibri" w:hAnsi="Calibri"/>
          <w:color w:val="525866"/>
          <w:sz w:val="22"/>
        </w:rPr>
        <w:t xml:space="preserve"> (around the Broadcom AI deal announcement on June 9), then sold off sharply through late June, likely driven by broader financial sector rotation and private credit sentiment headwinds.</w:t>
      </w:r>
    </w:p>
    <w:p>
      <w:pPr>
        <w:pStyle w:val="ListBullet"/>
        <w:ind w:left="360" w:hanging="360"/>
      </w:pPr>
      <w:r>
        <w:rPr>
          <w:rFonts w:ascii="Calibri" w:hAnsi="Calibri"/>
          <w:b/>
          <w:color w:val="525866"/>
          <w:sz w:val="22"/>
        </w:rPr>
        <w:t>The stock recovered from the ~$115 trough (June 29) to ~$129 heading into earnings</w:t>
      </w:r>
      <w:r>
        <w:rPr>
          <w:rFonts w:ascii="Calibri" w:hAnsi="Calibri"/>
          <w:color w:val="525866"/>
          <w:sz w:val="22"/>
        </w:rPr>
        <w:t>, a ~12% recovery, suggesting the worst of the sentiment-driven selling has passed.</w:t>
      </w:r>
    </w:p>
    <w:p>
      <w:pPr>
        <w:pStyle w:val="ListBullet"/>
        <w:ind w:left="360" w:hanging="360"/>
      </w:pPr>
      <w:r>
        <w:rPr>
          <w:rFonts w:ascii="Calibri" w:hAnsi="Calibri"/>
          <w:b/>
          <w:color w:val="525866"/>
          <w:sz w:val="22"/>
        </w:rPr>
        <w:t>KIE (insurance ETF) has been a strong outperformer (+15%)</w:t>
      </w:r>
      <w:r>
        <w:rPr>
          <w:rFonts w:ascii="Calibri" w:hAnsi="Calibri"/>
          <w:color w:val="525866"/>
          <w:sz w:val="22"/>
        </w:rPr>
        <w:t>, reflecting the broader insurance sector rally — APO's underperformance vs. KIE suggests the market is not giving full credit for Athene's spread business.</w:t>
      </w:r>
    </w:p>
    <w:p>
      <w:pPr>
        <w:pStyle w:val="ListBullet"/>
        <w:ind w:left="360" w:hanging="360"/>
      </w:pPr>
      <w:r>
        <w:rPr>
          <w:rFonts w:ascii="Calibri" w:hAnsi="Calibri"/>
          <w:b/>
          <w:color w:val="525866"/>
          <w:sz w:val="22"/>
        </w:rPr>
        <w:t>SPY is up ~3% since Q1 earnings</w:t>
      </w:r>
      <w:r>
        <w:rPr>
          <w:rFonts w:ascii="Calibri" w:hAnsi="Calibri"/>
          <w:color w:val="525866"/>
          <w:sz w:val="22"/>
        </w:rPr>
        <w:t>, making APO a notable underperformer on an absolute basis despite strong fundamental execution.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landmark $35B Broadcom/BX/APO AI infrastructure financing (June 9) is the most significant development since Q1 earnings — it validates Apollo's origination thesis at scale and could drive record ACS fees in Q2.</w:t>
      </w:r>
    </w:p>
    <w:p>
      <w:pPr>
        <w:pStyle w:val="ListBullet"/>
        <w:ind w:left="360" w:hanging="360"/>
      </w:pPr>
      <w:r>
        <w:rPr>
          <w:rFonts w:ascii="Calibri" w:hAnsi="Calibri"/>
          <w:b/>
          <w:color w:val="525866"/>
          <w:sz w:val="22"/>
        </w:rPr>
        <w:t>June 9, 2026 — Broadcom/BX/APO $35B AI Infrastructure Financing Platform:</w:t>
      </w:r>
      <w:r>
        <w:rPr>
          <w:rFonts w:ascii="Calibri" w:hAnsi="Calibri"/>
          <w:color w:val="525866"/>
          <w:sz w:val="22"/>
        </w:rPr>
        <w:t xml:space="preserve"> Apollo (with Blackstone) co-led a $35B financing platform for Broadcom's AI compute deployment, described as the "largest private credit investment in history." This is directly relevant to Q2 origination and ACS fees. Management had telegraphed AI infrastructure as a primary origination driver; this deal validates the thesis at unprecedented scale. </w:t>
      </w:r>
      <w:r>
        <w:rPr>
          <w:rFonts w:ascii="Calibri" w:hAnsi="Calibri"/>
          <w:i/>
          <w:color w:val="525866"/>
          <w:sz w:val="22"/>
        </w:rPr>
        <w:t>Implication:</w:t>
      </w:r>
      <w:r>
        <w:rPr>
          <w:rFonts w:ascii="Calibri" w:hAnsi="Calibri"/>
          <w:i/>
          <w:color w:val="525866"/>
          <w:sz w:val="22"/>
        </w:rPr>
        <w:t xml:space="preserve"> Likely a significant contributor to Q2 origination and ACS fees; management commentary on deal economics and pipeline will be closely watched.</w:t>
      </w:r>
    </w:p>
    <w:p>
      <w:pPr>
        <w:pStyle w:val="ListBullet"/>
        <w:ind w:left="360" w:hanging="360"/>
      </w:pPr>
      <w:r>
        <w:rPr>
          <w:rFonts w:ascii="Calibri" w:hAnsi="Calibri"/>
          <w:b/>
          <w:color w:val="525866"/>
          <w:sz w:val="22"/>
        </w:rPr>
        <w:t>July 1, 2026 — Q2 Alternative Net Investment Income Pre-Announcement (8-K):</w:t>
      </w:r>
      <w:r>
        <w:rPr>
          <w:rFonts w:ascii="Calibri" w:hAnsi="Calibri"/>
          <w:color w:val="525866"/>
          <w:sz w:val="22"/>
        </w:rPr>
        <w:t xml:space="preserve"> Apollo pre-announced Q2 alternative net investment income of ~$350M pre-tax (9% annualized return), below the 11% long-term assumption. This is a known SRE headwind heading into the print. </w:t>
      </w:r>
      <w:r>
        <w:rPr>
          <w:rFonts w:ascii="Calibri" w:hAnsi="Calibri"/>
          <w:i/>
          <w:color w:val="525866"/>
          <w:sz w:val="22"/>
        </w:rPr>
        <w:t>Implication:</w:t>
      </w:r>
      <w:r>
        <w:rPr>
          <w:rFonts w:ascii="Calibri" w:hAnsi="Calibri"/>
          <w:i/>
          <w:color w:val="525866"/>
          <w:sz w:val="22"/>
        </w:rPr>
        <w:t xml:space="preserve"> SRE will likely come in below the normalized $900M+ level; consensus has already adjusted lower (~$872M).</w:t>
      </w:r>
    </w:p>
    <w:p>
      <w:pPr>
        <w:pStyle w:val="ListBullet"/>
        <w:ind w:left="360" w:hanging="360"/>
      </w:pPr>
      <w:r>
        <w:rPr>
          <w:rFonts w:ascii="Calibri" w:hAnsi="Calibri"/>
          <w:b/>
          <w:color w:val="525866"/>
          <w:sz w:val="22"/>
        </w:rPr>
        <w:t>May 15, 2026 — Athene Fixed Income Investor Call:</w:t>
      </w:r>
      <w:r>
        <w:rPr>
          <w:rFonts w:ascii="Calibri" w:hAnsi="Calibri"/>
          <w:color w:val="525866"/>
          <w:sz w:val="22"/>
        </w:rPr>
        <w:t xml:space="preserve"> Athene hosted a fixed income investor call providing granular portfolio transparency, including three detailed disclosure documents (alternatives portfolio, full asset compendium, affiliated/related party assets). Management framed transparency as a structural competitive advantage. </w:t>
      </w:r>
      <w:r>
        <w:rPr>
          <w:rFonts w:ascii="Calibri" w:hAnsi="Calibri"/>
          <w:i/>
          <w:color w:val="525866"/>
          <w:sz w:val="22"/>
        </w:rPr>
        <w:t>Implication:</w:t>
      </w:r>
      <w:r>
        <w:rPr>
          <w:rFonts w:ascii="Calibri" w:hAnsi="Calibri"/>
          <w:i/>
          <w:color w:val="525866"/>
          <w:sz w:val="22"/>
        </w:rPr>
        <w:t xml:space="preserve"> Positive for long-term credibility and cost of capital; no material guidance change.</w:t>
      </w:r>
    </w:p>
    <w:p>
      <w:pPr>
        <w:pStyle w:val="ListBullet"/>
        <w:ind w:left="360" w:hanging="360"/>
      </w:pPr>
      <w:r>
        <w:rPr>
          <w:rFonts w:ascii="Calibri" w:hAnsi="Calibri"/>
          <w:b/>
          <w:color w:val="525866"/>
          <w:sz w:val="22"/>
        </w:rPr>
        <w:t>May 6, 2026 — Q1 2026 Earnings (Record FRE, $1T AUM Milestone):</w:t>
      </w:r>
      <w:r>
        <w:rPr>
          <w:rFonts w:ascii="Calibri" w:hAnsi="Calibri"/>
          <w:color w:val="525866"/>
          <w:sz w:val="22"/>
        </w:rPr>
        <w:t xml:space="preserve"> Record FRE of $728M; AUM crossed $1 trillion; origination of $71B; full-year guidance reaffirmed. CEO Rowan explicitly guided Q2 origination could approach the $97B all-time record. </w:t>
      </w:r>
      <w:r>
        <w:rPr>
          <w:rFonts w:ascii="Calibri" w:hAnsi="Calibri"/>
          <w:i/>
          <w:color w:val="525866"/>
          <w:sz w:val="22"/>
        </w:rPr>
        <w:t>Implication:</w:t>
      </w:r>
      <w:r>
        <w:rPr>
          <w:rFonts w:ascii="Calibri" w:hAnsi="Calibri"/>
          <w:i/>
          <w:color w:val="525866"/>
          <w:sz w:val="22"/>
        </w:rPr>
        <w:t xml:space="preserve"> Set a high bar for Q2 origination expectations that consensus has converged to.</w:t>
      </w:r>
    </w:p>
    <w:p>
      <w:pPr>
        <w:pStyle w:val="ListBullet"/>
        <w:ind w:left="360" w:hanging="360"/>
      </w:pPr>
      <w:r>
        <w:rPr>
          <w:rFonts w:ascii="Calibri" w:hAnsi="Calibri"/>
          <w:b/>
          <w:color w:val="525866"/>
          <w:sz w:val="22"/>
        </w:rPr>
        <w:t>Peer Read-Through:</w:t>
      </w:r>
      <w:r>
        <w:rPr>
          <w:rFonts w:ascii="Calibri" w:hAnsi="Calibri"/>
          <w:color w:val="525866"/>
          <w:sz w:val="22"/>
        </w:rPr>
        <w:t xml:space="preserve"> BX (July 23), KKR (July 30), ARES (July 31), and OWL (July 30) all reported strong Q2 results with record or near-record fundraising, robust institutional demand, and improving wealth channel trends — broadly positive read-through for APO's capital formation and FRE trajectory. See dedicated Peer Commentary section.</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b/>
          <w:color w:val="525866"/>
          <w:sz w:val="22"/>
        </w:rPr>
        <w:t>No open-market buys from senior management since Q1 earnings. The only discretionary open-market sales are Co-President John Zito (48,644 shares, ~$6.3M, May 27) and CFO Martin Kelly (7,000 shares, ~$945K, May 14) — both modest relative to holdings and not flagged as 10b5-1 plan sales. All other transactions are routine director stock awards or gift/transfer dispositions.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John P. Zito</w:t>
            </w:r>
          </w:p>
        </w:tc>
        <w:tc>
          <w:tcPr>
            <w:tcW w:type="dxa" w:w="1234"/>
          </w:tcPr>
          <w:p>
            <w:r>
              <w:rPr>
                <w:rFonts w:ascii="Calibri" w:hAnsi="Calibri"/>
                <w:sz w:val="22"/>
              </w:rPr>
              <w:t>Co-President</w:t>
            </w:r>
          </w:p>
        </w:tc>
        <w:tc>
          <w:tcPr>
            <w:tcW w:type="dxa" w:w="1234"/>
          </w:tcPr>
          <w:p>
            <w:r>
              <w:rPr>
                <w:rFonts w:ascii="Calibri" w:hAnsi="Calibri"/>
                <w:b/>
                <w:color w:val="E5484D"/>
                <w:sz w:val="22"/>
              </w:rPr>
              <w:t>Open Market Sale</w:t>
            </w:r>
          </w:p>
        </w:tc>
        <w:tc>
          <w:tcPr>
            <w:tcW w:type="dxa" w:w="1234"/>
          </w:tcPr>
          <w:p>
            <w:r>
              <w:rPr>
                <w:rFonts w:ascii="Calibri" w:hAnsi="Calibri"/>
                <w:sz w:val="22"/>
              </w:rPr>
              <w:t>48,644</w:t>
            </w:r>
          </w:p>
        </w:tc>
        <w:tc>
          <w:tcPr>
            <w:tcW w:type="dxa" w:w="1234"/>
          </w:tcPr>
          <w:p>
            <w:r>
              <w:rPr>
                <w:rFonts w:ascii="Calibri" w:hAnsi="Calibri"/>
                <w:sz w:val="22"/>
              </w:rPr>
              <w:t>~$6.3M</w:t>
            </w:r>
          </w:p>
        </w:tc>
        <w:tc>
          <w:tcPr>
            <w:tcW w:type="dxa" w:w="1234"/>
          </w:tcPr>
          <w:p>
            <w:r>
              <w:rPr>
                <w:rFonts w:ascii="Calibri" w:hAnsi="Calibri"/>
                <w:sz w:val="22"/>
              </w:rPr>
              <w:t>May 27, 2026</w:t>
            </w:r>
          </w:p>
        </w:tc>
        <w:tc>
          <w:tcPr>
            <w:tcW w:type="dxa" w:w="1234"/>
          </w:tcPr>
          <w:p>
            <w:r>
              <w:rPr>
                <w:rFonts w:ascii="Calibri" w:hAnsi="Calibri"/>
                <w:sz w:val="22"/>
              </w:rPr>
              <w:t>Discretionary; not flagged as 10b5-1</w:t>
            </w:r>
          </w:p>
        </w:tc>
      </w:tr>
      <w:tr>
        <w:tc>
          <w:tcPr>
            <w:tcW w:type="dxa" w:w="1234"/>
          </w:tcPr>
          <w:p>
            <w:r>
              <w:rPr>
                <w:rFonts w:ascii="Calibri" w:hAnsi="Calibri"/>
                <w:sz w:val="22"/>
              </w:rPr>
              <w:t>Martin Kelly</w:t>
            </w:r>
          </w:p>
        </w:tc>
        <w:tc>
          <w:tcPr>
            <w:tcW w:type="dxa" w:w="1234"/>
          </w:tcPr>
          <w:p>
            <w:r>
              <w:rPr>
                <w:rFonts w:ascii="Calibri" w:hAnsi="Calibri"/>
                <w:sz w:val="22"/>
              </w:rPr>
              <w:t>CFO</w:t>
            </w:r>
          </w:p>
        </w:tc>
        <w:tc>
          <w:tcPr>
            <w:tcW w:type="dxa" w:w="1234"/>
          </w:tcPr>
          <w:p>
            <w:r>
              <w:rPr>
                <w:rFonts w:ascii="Calibri" w:hAnsi="Calibri"/>
                <w:b/>
                <w:color w:val="E5484D"/>
                <w:sz w:val="22"/>
              </w:rPr>
              <w:t>Open Market Sale</w:t>
            </w:r>
          </w:p>
        </w:tc>
        <w:tc>
          <w:tcPr>
            <w:tcW w:type="dxa" w:w="1234"/>
          </w:tcPr>
          <w:p>
            <w:r>
              <w:rPr>
                <w:rFonts w:ascii="Calibri" w:hAnsi="Calibri"/>
                <w:sz w:val="22"/>
              </w:rPr>
              <w:t>7,000</w:t>
            </w:r>
          </w:p>
        </w:tc>
        <w:tc>
          <w:tcPr>
            <w:tcW w:type="dxa" w:w="1234"/>
          </w:tcPr>
          <w:p>
            <w:r>
              <w:rPr>
                <w:rFonts w:ascii="Calibri" w:hAnsi="Calibri"/>
                <w:sz w:val="22"/>
              </w:rPr>
              <w:t>~$945K</w:t>
            </w:r>
          </w:p>
        </w:tc>
        <w:tc>
          <w:tcPr>
            <w:tcW w:type="dxa" w:w="1234"/>
          </w:tcPr>
          <w:p>
            <w:r>
              <w:rPr>
                <w:rFonts w:ascii="Calibri" w:hAnsi="Calibri"/>
                <w:sz w:val="22"/>
              </w:rPr>
              <w:t>May 14, 2026</w:t>
            </w:r>
          </w:p>
        </w:tc>
        <w:tc>
          <w:tcPr>
            <w:tcW w:type="dxa" w:w="1234"/>
          </w:tcPr>
          <w:p>
            <w:r>
              <w:rPr>
                <w:rFonts w:ascii="Calibri" w:hAnsi="Calibri"/>
                <w:sz w:val="22"/>
              </w:rPr>
              <w:t>Discretionary; not flagged as 10b5-1</w:t>
            </w:r>
          </w:p>
        </w:tc>
      </w:tr>
      <w:tr>
        <w:tc>
          <w:tcPr>
            <w:tcW w:type="dxa" w:w="1234"/>
          </w:tcPr>
          <w:p>
            <w:r>
              <w:rPr>
                <w:rFonts w:ascii="Calibri" w:hAnsi="Calibri"/>
                <w:sz w:val="22"/>
              </w:rPr>
              <w:t>Martin Kelly</w:t>
            </w:r>
          </w:p>
        </w:tc>
        <w:tc>
          <w:tcPr>
            <w:tcW w:type="dxa" w:w="1234"/>
          </w:tcPr>
          <w:p>
            <w:r>
              <w:rPr>
                <w:rFonts w:ascii="Calibri" w:hAnsi="Calibri"/>
                <w:sz w:val="22"/>
              </w:rPr>
              <w:t>CFO</w:t>
            </w:r>
          </w:p>
        </w:tc>
        <w:tc>
          <w:tcPr>
            <w:tcW w:type="dxa" w:w="1234"/>
          </w:tcPr>
          <w:p>
            <w:r>
              <w:rPr>
                <w:rFonts w:ascii="Calibri" w:hAnsi="Calibri"/>
                <w:sz w:val="22"/>
              </w:rPr>
              <w:t>Gift / Transfer</w:t>
            </w:r>
          </w:p>
        </w:tc>
        <w:tc>
          <w:tcPr>
            <w:tcW w:type="dxa" w:w="1234"/>
          </w:tcPr>
          <w:p>
            <w:r>
              <w:rPr>
                <w:rFonts w:ascii="Calibri" w:hAnsi="Calibri"/>
                <w:sz w:val="22"/>
              </w:rPr>
              <w:t>1,300</w:t>
            </w:r>
          </w:p>
        </w:tc>
        <w:tc>
          <w:tcPr>
            <w:tcW w:type="dxa" w:w="1234"/>
          </w:tcPr>
          <w:p>
            <w:r>
              <w:rPr>
                <w:rFonts w:ascii="Calibri" w:hAnsi="Calibri"/>
                <w:sz w:val="22"/>
              </w:rPr>
              <w:t>N/A</w:t>
            </w:r>
          </w:p>
        </w:tc>
        <w:tc>
          <w:tcPr>
            <w:tcW w:type="dxa" w:w="1234"/>
          </w:tcPr>
          <w:p>
            <w:r>
              <w:rPr>
                <w:rFonts w:ascii="Calibri" w:hAnsi="Calibri"/>
                <w:sz w:val="22"/>
              </w:rPr>
              <w:t>June 9, 2026</w:t>
            </w:r>
          </w:p>
        </w:tc>
        <w:tc>
          <w:tcPr>
            <w:tcW w:type="dxa" w:w="1234"/>
          </w:tcPr>
          <w:p>
            <w:r>
              <w:rPr>
                <w:rFonts w:ascii="Calibri" w:hAnsi="Calibri"/>
                <w:sz w:val="22"/>
              </w:rPr>
              <w:t>Disposition via gift (code G); not a market sale</w:t>
            </w:r>
          </w:p>
        </w:tc>
      </w:tr>
      <w:tr>
        <w:tc>
          <w:tcPr>
            <w:tcW w:type="dxa" w:w="1234"/>
          </w:tcPr>
          <w:p>
            <w:r>
              <w:rPr>
                <w:rFonts w:ascii="Calibri" w:hAnsi="Calibri"/>
                <w:sz w:val="22"/>
              </w:rPr>
              <w:t>Scott Kleinman</w:t>
            </w:r>
          </w:p>
        </w:tc>
        <w:tc>
          <w:tcPr>
            <w:tcW w:type="dxa" w:w="1234"/>
          </w:tcPr>
          <w:p>
            <w:r>
              <w:rPr>
                <w:rFonts w:ascii="Calibri" w:hAnsi="Calibri"/>
                <w:sz w:val="22"/>
              </w:rPr>
              <w:t>Co-President</w:t>
            </w:r>
          </w:p>
        </w:tc>
        <w:tc>
          <w:tcPr>
            <w:tcW w:type="dxa" w:w="1234"/>
          </w:tcPr>
          <w:p>
            <w:r>
              <w:rPr>
                <w:rFonts w:ascii="Calibri" w:hAnsi="Calibri"/>
                <w:sz w:val="22"/>
              </w:rPr>
              <w:t>Gift / Transfer</w:t>
            </w:r>
          </w:p>
        </w:tc>
        <w:tc>
          <w:tcPr>
            <w:tcW w:type="dxa" w:w="1234"/>
          </w:tcPr>
          <w:p>
            <w:r>
              <w:rPr>
                <w:rFonts w:ascii="Calibri" w:hAnsi="Calibri"/>
                <w:sz w:val="22"/>
              </w:rPr>
              <w:t>13,424</w:t>
            </w:r>
          </w:p>
        </w:tc>
        <w:tc>
          <w:tcPr>
            <w:tcW w:type="dxa" w:w="1234"/>
          </w:tcPr>
          <w:p>
            <w:r>
              <w:rPr>
                <w:rFonts w:ascii="Calibri" w:hAnsi="Calibri"/>
                <w:sz w:val="22"/>
              </w:rPr>
              <w:t>N/A</w:t>
            </w:r>
          </w:p>
        </w:tc>
        <w:tc>
          <w:tcPr>
            <w:tcW w:type="dxa" w:w="1234"/>
          </w:tcPr>
          <w:p>
            <w:r>
              <w:rPr>
                <w:rFonts w:ascii="Calibri" w:hAnsi="Calibri"/>
                <w:sz w:val="22"/>
              </w:rPr>
              <w:t>May 27, 2026</w:t>
            </w:r>
          </w:p>
        </w:tc>
        <w:tc>
          <w:tcPr>
            <w:tcW w:type="dxa" w:w="1234"/>
          </w:tcPr>
          <w:p>
            <w:r>
              <w:rPr>
                <w:rFonts w:ascii="Calibri" w:hAnsi="Calibri"/>
                <w:sz w:val="22"/>
              </w:rPr>
              <w:t>Disposition via gift (code G); not a market sale</w:t>
            </w:r>
          </w:p>
        </w:tc>
      </w:tr>
      <w:tr>
        <w:tc>
          <w:tcPr>
            <w:tcW w:type="dxa" w:w="1234"/>
          </w:tcPr>
          <w:p>
            <w:r>
              <w:rPr>
                <w:rFonts w:ascii="Calibri" w:hAnsi="Calibri"/>
                <w:sz w:val="22"/>
              </w:rPr>
              <w:t>Marc Rowan</w:t>
            </w:r>
          </w:p>
        </w:tc>
        <w:tc>
          <w:tcPr>
            <w:tcW w:type="dxa" w:w="1234"/>
          </w:tcPr>
          <w:p>
            <w:r>
              <w:rPr>
                <w:rFonts w:ascii="Calibri" w:hAnsi="Calibri"/>
                <w:sz w:val="22"/>
              </w:rPr>
              <w:t>CEO</w:t>
            </w:r>
          </w:p>
        </w:tc>
        <w:tc>
          <w:tcPr>
            <w:tcW w:type="dxa" w:w="1234"/>
          </w:tcPr>
          <w:p>
            <w:r>
              <w:rPr>
                <w:rFonts w:ascii="Calibri" w:hAnsi="Calibri"/>
                <w:sz w:val="22"/>
              </w:rPr>
              <w:t>Gift / Transfer</w:t>
            </w:r>
          </w:p>
        </w:tc>
        <w:tc>
          <w:tcPr>
            <w:tcW w:type="dxa" w:w="1234"/>
          </w:tcPr>
          <w:p>
            <w:r>
              <w:rPr>
                <w:rFonts w:ascii="Calibri" w:hAnsi="Calibri"/>
                <w:sz w:val="22"/>
              </w:rPr>
              <w:t>140,000</w:t>
            </w:r>
          </w:p>
        </w:tc>
        <w:tc>
          <w:tcPr>
            <w:tcW w:type="dxa" w:w="1234"/>
          </w:tcPr>
          <w:p>
            <w:r>
              <w:rPr>
                <w:rFonts w:ascii="Calibri" w:hAnsi="Calibri"/>
                <w:sz w:val="22"/>
              </w:rPr>
              <w:t>N/A</w:t>
            </w:r>
          </w:p>
        </w:tc>
        <w:tc>
          <w:tcPr>
            <w:tcW w:type="dxa" w:w="1234"/>
          </w:tcPr>
          <w:p>
            <w:r>
              <w:rPr>
                <w:rFonts w:ascii="Calibri" w:hAnsi="Calibri"/>
                <w:sz w:val="22"/>
              </w:rPr>
              <w:t>May 8, 2026</w:t>
            </w:r>
          </w:p>
        </w:tc>
        <w:tc>
          <w:tcPr>
            <w:tcW w:type="dxa" w:w="1234"/>
          </w:tcPr>
          <w:p>
            <w:r>
              <w:rPr>
                <w:rFonts w:ascii="Calibri" w:hAnsi="Calibri"/>
                <w:sz w:val="22"/>
              </w:rPr>
              <w:t>Disposition via gift (code G); not a market sale</w:t>
            </w:r>
          </w:p>
        </w:tc>
      </w:tr>
      <w:tr>
        <w:tc>
          <w:tcPr>
            <w:tcW w:type="dxa" w:w="1234"/>
          </w:tcPr>
          <w:p>
            <w:r>
              <w:rPr>
                <w:rFonts w:ascii="Calibri" w:hAnsi="Calibri"/>
                <w:sz w:val="22"/>
              </w:rPr>
              <w:t>Multiple Directors (9 individuals)</w:t>
            </w:r>
          </w:p>
        </w:tc>
        <w:tc>
          <w:tcPr>
            <w:tcW w:type="dxa" w:w="1234"/>
          </w:tcPr>
          <w:p>
            <w:r>
              <w:rPr>
                <w:rFonts w:ascii="Calibri" w:hAnsi="Calibri"/>
                <w:sz w:val="22"/>
              </w:rPr>
              <w:t>Board of Directors</w:t>
            </w:r>
          </w:p>
        </w:tc>
        <w:tc>
          <w:tcPr>
            <w:tcW w:type="dxa" w:w="1234"/>
          </w:tcPr>
          <w:p>
            <w:r>
              <w:rPr>
                <w:rFonts w:ascii="Calibri" w:hAnsi="Calibri"/>
                <w:sz w:val="22"/>
              </w:rPr>
              <w:t>Stock Award (Compensation)</w:t>
            </w:r>
          </w:p>
        </w:tc>
        <w:tc>
          <w:tcPr>
            <w:tcW w:type="dxa" w:w="1234"/>
          </w:tcPr>
          <w:p>
            <w:r>
              <w:rPr>
                <w:rFonts w:ascii="Calibri" w:hAnsi="Calibri"/>
                <w:sz w:val="22"/>
              </w:rPr>
              <w:t>1,589–1,986 each</w:t>
            </w:r>
          </w:p>
        </w:tc>
        <w:tc>
          <w:tcPr>
            <w:tcW w:type="dxa" w:w="1234"/>
          </w:tcPr>
          <w:p>
            <w:r>
              <w:rPr>
                <w:rFonts w:ascii="Calibri" w:hAnsi="Calibri"/>
                <w:sz w:val="22"/>
              </w:rPr>
              <w:t>N/A</w:t>
            </w:r>
          </w:p>
        </w:tc>
        <w:tc>
          <w:tcPr>
            <w:tcW w:type="dxa" w:w="1234"/>
          </w:tcPr>
          <w:p>
            <w:r>
              <w:rPr>
                <w:rFonts w:ascii="Calibri" w:hAnsi="Calibri"/>
                <w:sz w:val="22"/>
              </w:rPr>
              <w:t>July 1, 2026</w:t>
            </w:r>
          </w:p>
        </w:tc>
        <w:tc>
          <w:tcPr>
            <w:tcW w:type="dxa" w:w="1234"/>
          </w:tcPr>
          <w:p>
            <w:r>
              <w:rPr>
                <w:rFonts w:ascii="Calibri" w:hAnsi="Calibri"/>
                <w:sz w:val="22"/>
              </w:rPr>
              <w:t>Routine annual director compensation grants (code A); not discretionary purchases</w:t>
            </w:r>
          </w:p>
        </w:tc>
      </w:tr>
    </w:tbl>
    <w:p>
      <w:r>
        <w:rPr>
          <w:rFonts w:ascii="Calibri" w:hAnsi="Calibri"/>
          <w:i/>
          <w:color w:val="525866"/>
          <w:sz w:val="22"/>
        </w:rPr>
        <w:t>Source: SEC Form 4 filings.</w:t>
      </w:r>
    </w:p>
    <w:p>
      <w:r>
        <w:rPr>
          <w:rFonts w:ascii="Calibri" w:hAnsi="Calibri"/>
          <w:color w:val="525866"/>
          <w:sz w:val="22"/>
        </w:rPr>
        <w:t>The absence of open-market buys from senior management is notable but not alarming given the stock's flat-to-down performance since Q1 earnings. The Zito and Kelly sales are the only discretionary transactions and are relatively modest in size relative to their holdings (Zito holds ~3.06M shares; Kelly holds ~401K shares). No 10b5-1 plan sales were flagged in the dataset.</w:t>
      </w:r>
    </w:p>
    <w:p>
      <w:r>
        <w:br w:type="page"/>
      </w:r>
    </w:p>
    <w:p>
      <w:pPr>
        <w:pStyle w:val="Heading2"/>
      </w:pPr>
      <w:r>
        <w:rPr>
          <w:rFonts w:ascii="Calibri" w:hAnsi="Calibri"/>
          <w:b/>
          <w:color w:val="3B4259"/>
          <w:sz w:val="28"/>
        </w:rPr>
        <w:t>8. Peer Commentary — Q2 2026 Read-Through (Last 60 Days)</w:t>
      </w:r>
    </w:p>
    <w:p>
      <w:r>
        <w:rPr>
          <w:rFonts w:ascii="Calibri" w:hAnsi="Calibri"/>
          <w:b/>
          <w:color w:val="525866"/>
          <w:sz w:val="22"/>
        </w:rPr>
        <w:t xml:space="preserve">Key Takeaway: </w:t>
      </w:r>
      <w:r>
        <w:rPr>
          <w:rFonts w:ascii="Calibri" w:hAnsi="Calibri"/>
          <w:b/>
          <w:color w:val="525866"/>
          <w:sz w:val="22"/>
        </w:rPr>
        <w:t>Peers reporting Q2 2026 results (BX, KKR, ARES, OWL) all delivered strong prints with record or near-record fundraising, robust institutional demand, and improving wealth channel trends — a broadly positive read-through for APO's Q2 capital formation, FRE trajectory, and origination pipeline. The AI infrastructure financing theme (BX/APO Broadcom deal, KKR's Helix Digital Infrastructure) validates Apollo's origination thesis at scale.</w:t>
      </w:r>
    </w:p>
    <w:p>
      <w:r>
        <w:rPr>
          <w:rFonts w:ascii="Calibri" w:hAnsi="Calibri"/>
          <w:b/>
          <w:color w:val="525866"/>
          <w:sz w:val="22"/>
        </w:rPr>
        <w:t xml:space="preserve">Note: </w:t>
      </w:r>
      <w:r>
        <w:rPr>
          <w:rFonts w:ascii="Calibri" w:hAnsi="Calibri"/>
          <w:i/>
          <w:color w:val="525866"/>
          <w:sz w:val="22"/>
        </w:rPr>
        <w:t>All commentary below is from Q2 2026 earnings calls and Q2 2026 conference presentations (May–July 2026), reflecting peers' views on the current reporting quarter environment. Prior-quarter results commentary has been excluded.</w:t>
      </w:r>
    </w:p>
    <w:p>
      <w:pPr>
        <w:pStyle w:val="Heading3"/>
      </w:pPr>
      <w:r>
        <w:rPr>
          <w:rFonts w:ascii="Calibri" w:hAnsi="Calibri"/>
          <w:b/>
          <w:color w:val="3B4259"/>
          <w:sz w:val="24"/>
        </w:rPr>
        <w:t>A. Blackstone (BX) — Q2 2026 Earnings (July 23, 2026)</w:t>
      </w:r>
    </w:p>
    <w:p>
      <w:pPr>
        <w:pStyle w:val="ListBullet"/>
        <w:ind w:left="360" w:hanging="360"/>
      </w:pPr>
      <w:r>
        <w:rPr>
          <w:rFonts w:ascii="Calibri" w:hAnsi="Calibri"/>
          <w:b/>
          <w:color w:val="525866"/>
          <w:sz w:val="22"/>
        </w:rPr>
        <w:t>Capital Formation &amp; Fundraising:</w:t>
      </w:r>
      <w:r>
        <w:rPr>
          <w:rFonts w:ascii="Calibri" w:hAnsi="Calibri"/>
          <w:color w:val="525866"/>
          <w:sz w:val="22"/>
        </w:rPr>
        <w:t xml:space="preserve"> BX reported total inflows of nearly $70B in Q2 and over $260B for the LTM, lifting AUM 11% YoY to a record $1.35T. Three institutional drawdown funds hit their hard caps in 2026 (opportunistic private credit, life sciences, Asia PE), representing nearly $40B. </w:t>
      </w:r>
      <w:r>
        <w:rPr>
          <w:rFonts w:ascii="Calibri" w:hAnsi="Calibri"/>
          <w:i/>
          <w:color w:val="525866"/>
          <w:sz w:val="22"/>
        </w:rPr>
        <w:t>APO Read-Through:</w:t>
      </w:r>
      <w:r>
        <w:rPr>
          <w:rFonts w:ascii="Calibri" w:hAnsi="Calibri"/>
          <w:i/>
          <w:color w:val="525866"/>
          <w:sz w:val="22"/>
        </w:rPr>
        <w:t xml:space="preserve"> Validates robust institutional demand environment that should benefit APO's capital formation and AUM growth.</w:t>
      </w:r>
    </w:p>
    <w:p>
      <w:pPr>
        <w:pStyle w:val="ListBullet"/>
        <w:ind w:left="360" w:hanging="360"/>
      </w:pPr>
      <w:r>
        <w:rPr>
          <w:rFonts w:ascii="Calibri" w:hAnsi="Calibri"/>
          <w:b/>
          <w:color w:val="525866"/>
          <w:sz w:val="22"/>
        </w:rPr>
        <w:t>AI Infrastructure (Broadcom Deal):</w:t>
      </w:r>
      <w:r>
        <w:rPr>
          <w:rFonts w:ascii="Calibri" w:hAnsi="Calibri"/>
          <w:color w:val="525866"/>
          <w:sz w:val="22"/>
        </w:rPr>
        <w:t xml:space="preserve"> BX co-led the $35B Broadcom financing platform with APO (described as "the largest private credit investment in history"), partnered with Google to build a new AI cloud provider ($5B initial investment), and launched BXDC (a $2B stabilized data center REIT IPO). BX's data center platform grew to $185B total value from $130B at start of year. </w:t>
      </w:r>
      <w:r>
        <w:rPr>
          <w:rFonts w:ascii="Calibri" w:hAnsi="Calibri"/>
          <w:i/>
          <w:color w:val="525866"/>
          <w:sz w:val="22"/>
        </w:rPr>
        <w:t>APO Read-Through:</w:t>
      </w:r>
      <w:r>
        <w:rPr>
          <w:rFonts w:ascii="Calibri" w:hAnsi="Calibri"/>
          <w:i/>
          <w:color w:val="525866"/>
          <w:sz w:val="22"/>
        </w:rPr>
        <w:t xml:space="preserve"> Directly validates APO's AI origination thesis; BX's commentary on deal economics and pipeline is highly relevant to APO's ACS fee outlook for Q2.</w:t>
      </w:r>
    </w:p>
    <w:p>
      <w:pPr>
        <w:pStyle w:val="ListBullet"/>
        <w:ind w:left="360" w:hanging="360"/>
      </w:pPr>
      <w:r>
        <w:rPr>
          <w:rFonts w:ascii="Calibri" w:hAnsi="Calibri"/>
          <w:b/>
          <w:color w:val="525866"/>
          <w:sz w:val="22"/>
        </w:rPr>
        <w:t>Wealth Channel:</w:t>
      </w:r>
      <w:r>
        <w:rPr>
          <w:rFonts w:ascii="Calibri" w:hAnsi="Calibri"/>
          <w:color w:val="525866"/>
          <w:sz w:val="22"/>
        </w:rPr>
        <w:t xml:space="preserve"> BX private wealth AUM grew 16% YoY to a record $324B. BXP raised $2.4B in Q2 (best month of sales since launch in June at $1.2B). BCRED redemptions declined sharply in early Q3. </w:t>
      </w:r>
      <w:r>
        <w:rPr>
          <w:rFonts w:ascii="Calibri" w:hAnsi="Calibri"/>
          <w:i/>
          <w:color w:val="525866"/>
          <w:sz w:val="22"/>
        </w:rPr>
        <w:t>APO Read-Through:</w:t>
      </w:r>
      <w:r>
        <w:rPr>
          <w:rFonts w:ascii="Calibri" w:hAnsi="Calibri"/>
          <w:i/>
          <w:color w:val="525866"/>
          <w:sz w:val="22"/>
        </w:rPr>
        <w:t xml:space="preserve"> Improving wealth channel trends and declining BDC redemptions are a positive signal for APO's ADS redemption trajectory.</w:t>
      </w:r>
    </w:p>
    <w:p>
      <w:pPr>
        <w:pStyle w:val="ListBullet"/>
        <w:ind w:left="360" w:hanging="360"/>
      </w:pPr>
      <w:r>
        <w:rPr>
          <w:rFonts w:ascii="Calibri" w:hAnsi="Calibri"/>
          <w:b/>
          <w:color w:val="525866"/>
          <w:sz w:val="22"/>
        </w:rPr>
        <w:t>Private Credit:</w:t>
      </w:r>
      <w:r>
        <w:rPr>
          <w:rFonts w:ascii="Calibri" w:hAnsi="Calibri"/>
          <w:color w:val="525866"/>
          <w:sz w:val="22"/>
        </w:rPr>
        <w:t xml:space="preserve"> BX highlighted a "massive secular shift toward investment-grade private credit" with insurance channel resonating strongly. Non-IG credit strategies reported 1% gross return in Q2 and 7% for LTM. </w:t>
      </w:r>
      <w:r>
        <w:rPr>
          <w:rFonts w:ascii="Calibri" w:hAnsi="Calibri"/>
          <w:i/>
          <w:color w:val="525866"/>
          <w:sz w:val="22"/>
        </w:rPr>
        <w:t>APO Read-Through:</w:t>
      </w:r>
      <w:r>
        <w:rPr>
          <w:rFonts w:ascii="Calibri" w:hAnsi="Calibri"/>
          <w:i/>
          <w:color w:val="525866"/>
          <w:sz w:val="22"/>
        </w:rPr>
        <w:t xml:space="preserve"> Stable credit performance and strong insurance channel demand support APO's SRE and net spread outlook.</w:t>
      </w:r>
    </w:p>
    <w:p>
      <w:pPr>
        <w:pStyle w:val="ListBullet"/>
        <w:ind w:left="360" w:hanging="360"/>
      </w:pPr>
      <w:r>
        <w:rPr>
          <w:rFonts w:ascii="Calibri" w:hAnsi="Calibri"/>
          <w:b/>
          <w:color w:val="525866"/>
          <w:sz w:val="22"/>
        </w:rPr>
        <w:t>Management Tone:</w:t>
      </w:r>
      <w:r>
        <w:rPr>
          <w:rFonts w:ascii="Calibri" w:hAnsi="Calibri"/>
          <w:color w:val="525866"/>
          <w:sz w:val="22"/>
        </w:rPr>
        <w:t xml:space="preserve"> CEO Steve Schwarzman stated the stock is "on sale" and represents "one of the most inexpensive ways to participate in the AI megatrend." FRE grew 22% YoY to $1.8B. Expects similar YoY base management fee growth in Q3 as Q2, with return to double-digit growth in 2027. </w:t>
      </w:r>
      <w:r>
        <w:rPr>
          <w:rFonts w:ascii="Calibri" w:hAnsi="Calibri"/>
          <w:i/>
          <w:color w:val="525866"/>
          <w:sz w:val="22"/>
        </w:rPr>
        <w:t>APO Read-Through:</w:t>
      </w:r>
      <w:r>
        <w:rPr>
          <w:rFonts w:ascii="Calibri" w:hAnsi="Calibri"/>
          <w:i/>
          <w:color w:val="525866"/>
          <w:sz w:val="22"/>
        </w:rPr>
        <w:t xml:space="preserve"> Constructive tone on the alternative asset management sector broadly.</w:t>
      </w:r>
    </w:p>
    <w:p>
      <w:pPr>
        <w:pStyle w:val="Heading3"/>
      </w:pPr>
      <w:r>
        <w:rPr>
          <w:rFonts w:ascii="Calibri" w:hAnsi="Calibri"/>
          <w:b/>
          <w:color w:val="3B4259"/>
          <w:sz w:val="24"/>
        </w:rPr>
        <w:t>B. KKR — Q2 2026 Earnings (July 30, 2026)</w:t>
      </w:r>
    </w:p>
    <w:p>
      <w:pPr>
        <w:pStyle w:val="ListBullet"/>
        <w:ind w:left="360" w:hanging="360"/>
      </w:pPr>
      <w:r>
        <w:rPr>
          <w:rFonts w:ascii="Calibri" w:hAnsi="Calibri"/>
          <w:b/>
          <w:color w:val="525866"/>
          <w:sz w:val="22"/>
        </w:rPr>
        <w:t>Record FRE:</w:t>
      </w:r>
      <w:r>
        <w:rPr>
          <w:rFonts w:ascii="Calibri" w:hAnsi="Calibri"/>
          <w:color w:val="525866"/>
          <w:sz w:val="22"/>
        </w:rPr>
        <w:t xml:space="preserve"> KKR reported record FRE of $1.0B ($1.32/share), up 34% YoY, with FRE margin of 70% (above 65% for 10 consecutive quarters). Management fees of $1.2B, up 26% YoY. </w:t>
      </w:r>
      <w:r>
        <w:rPr>
          <w:rFonts w:ascii="Calibri" w:hAnsi="Calibri"/>
          <w:i/>
          <w:color w:val="525866"/>
          <w:sz w:val="22"/>
        </w:rPr>
        <w:t>APO Read-Through:</w:t>
      </w:r>
      <w:r>
        <w:rPr>
          <w:rFonts w:ascii="Calibri" w:hAnsi="Calibri"/>
          <w:i/>
          <w:color w:val="525866"/>
          <w:sz w:val="22"/>
        </w:rPr>
        <w:t xml:space="preserve"> Strong FRE growth validates the alternative asset manager earnings trajectory; positive read-through for APO's FRE beat potential.</w:t>
      </w:r>
    </w:p>
    <w:p>
      <w:pPr>
        <w:pStyle w:val="ListBullet"/>
        <w:ind w:left="360" w:hanging="360"/>
      </w:pPr>
      <w:r>
        <w:rPr>
          <w:rFonts w:ascii="Calibri" w:hAnsi="Calibri"/>
          <w:b/>
          <w:color w:val="525866"/>
          <w:sz w:val="22"/>
        </w:rPr>
        <w:t>Fundraising (Record Year):</w:t>
      </w:r>
      <w:r>
        <w:rPr>
          <w:rFonts w:ascii="Calibri" w:hAnsi="Calibri"/>
          <w:color w:val="525866"/>
          <w:sz w:val="22"/>
        </w:rPr>
        <w:t xml:space="preserve"> KKR beat its 3-year $300B fundraising target in 2.5 years, raising $305B since 2024 with $34B in Q2. Expects a record fundraising year with "accelerating momentum." Co-CEO Scott Nuttall noted a "disconnect" between external perception and internal operating fundamentals. </w:t>
      </w:r>
      <w:r>
        <w:rPr>
          <w:rFonts w:ascii="Calibri" w:hAnsi="Calibri"/>
          <w:i/>
          <w:color w:val="525866"/>
          <w:sz w:val="22"/>
        </w:rPr>
        <w:t>APO Read-Through:</w:t>
      </w:r>
      <w:r>
        <w:rPr>
          <w:rFonts w:ascii="Calibri" w:hAnsi="Calibri"/>
          <w:i/>
          <w:color w:val="525866"/>
          <w:sz w:val="22"/>
        </w:rPr>
        <w:t xml:space="preserve"> Institutional demand remains robust; positive for APO's capital formation outlook.</w:t>
      </w:r>
    </w:p>
    <w:p>
      <w:pPr>
        <w:pStyle w:val="ListBullet"/>
        <w:ind w:left="360" w:hanging="360"/>
      </w:pPr>
      <w:r>
        <w:rPr>
          <w:rFonts w:ascii="Calibri" w:hAnsi="Calibri"/>
          <w:b/>
          <w:color w:val="525866"/>
          <w:sz w:val="22"/>
        </w:rPr>
        <w:t>AI Infrastructure (Helix Digital Infrastructure):</w:t>
      </w:r>
      <w:r>
        <w:rPr>
          <w:rFonts w:ascii="Calibri" w:hAnsi="Calibri"/>
          <w:color w:val="525866"/>
          <w:sz w:val="22"/>
        </w:rPr>
        <w:t xml:space="preserve"> KKR formed Helix Digital Infrastructure with $10B+ initial committed capital, led by former AWS CEO Adam Selipsky, with NVIDIA and Vistra as strategic partners. KKR has committed/invested over $75B across digital infrastructure and power. </w:t>
      </w:r>
      <w:r>
        <w:rPr>
          <w:rFonts w:ascii="Calibri" w:hAnsi="Calibri"/>
          <w:i/>
          <w:color w:val="525866"/>
          <w:sz w:val="22"/>
        </w:rPr>
        <w:t>APO Read-Through:</w:t>
      </w:r>
      <w:r>
        <w:rPr>
          <w:rFonts w:ascii="Calibri" w:hAnsi="Calibri"/>
          <w:i/>
          <w:color w:val="525866"/>
          <w:sz w:val="22"/>
        </w:rPr>
        <w:t xml:space="preserve"> Validates the scale of AI infrastructure opportunity; APO's Broadcom deal positions it similarly as a leading capital provider.</w:t>
      </w:r>
    </w:p>
    <w:p>
      <w:pPr>
        <w:pStyle w:val="ListBullet"/>
        <w:ind w:left="360" w:hanging="360"/>
      </w:pPr>
      <w:r>
        <w:rPr>
          <w:rFonts w:ascii="Calibri" w:hAnsi="Calibri"/>
          <w:b/>
          <w:color w:val="525866"/>
          <w:sz w:val="22"/>
        </w:rPr>
        <w:t>Private Credit Narrative:</w:t>
      </w:r>
      <w:r>
        <w:rPr>
          <w:rFonts w:ascii="Calibri" w:hAnsi="Calibri"/>
          <w:color w:val="525866"/>
          <w:sz w:val="22"/>
        </w:rPr>
        <w:t xml:space="preserve"> KKR addressed "private credit anxiety" directly, noting it expects a record third-party credit fundraising year. Wealth channel K-series AUM up 70% YoY (20% net YTD). Nuttall stated the industry is "increasingly K-shaped" with KKR on the "happy part of the K." </w:t>
      </w:r>
      <w:r>
        <w:rPr>
          <w:rFonts w:ascii="Calibri" w:hAnsi="Calibri"/>
          <w:i/>
          <w:color w:val="525866"/>
          <w:sz w:val="22"/>
        </w:rPr>
        <w:t>APO Read-Through:</w:t>
      </w:r>
      <w:r>
        <w:rPr>
          <w:rFonts w:ascii="Calibri" w:hAnsi="Calibri"/>
          <w:i/>
          <w:color w:val="525866"/>
          <w:sz w:val="22"/>
        </w:rPr>
        <w:t xml:space="preserve"> Institutional and wealth demand for private credit remains strong despite narrative headwinds; large-scale managers are winning.</w:t>
      </w:r>
    </w:p>
    <w:p>
      <w:pPr>
        <w:pStyle w:val="ListBullet"/>
        <w:ind w:left="360" w:hanging="360"/>
      </w:pPr>
      <w:r>
        <w:rPr>
          <w:rFonts w:ascii="Calibri" w:hAnsi="Calibri"/>
          <w:b/>
          <w:color w:val="525866"/>
          <w:sz w:val="22"/>
        </w:rPr>
        <w:t>Deployment:</w:t>
      </w:r>
      <w:r>
        <w:rPr>
          <w:rFonts w:ascii="Calibri" w:hAnsi="Calibri"/>
          <w:color w:val="525866"/>
          <w:sz w:val="22"/>
        </w:rPr>
        <w:t xml:space="preserve"> KKR deployed $24B in Q2, bringing LTM capital invested to $104B (all-time high). Record $72B of committed capital not yet earning fees (up ~30% YoY), with weighted average management fee of ~90bps. </w:t>
      </w:r>
      <w:r>
        <w:rPr>
          <w:rFonts w:ascii="Calibri" w:hAnsi="Calibri"/>
          <w:i/>
          <w:color w:val="525866"/>
          <w:sz w:val="22"/>
        </w:rPr>
        <w:t>APO Read-Through:</w:t>
      </w:r>
      <w:r>
        <w:rPr>
          <w:rFonts w:ascii="Calibri" w:hAnsi="Calibri"/>
          <w:i/>
          <w:color w:val="525866"/>
          <w:sz w:val="22"/>
        </w:rPr>
        <w:t xml:space="preserve"> Strong deployment validates the origination environment; positive for APO's ACS fee and management fee outlook.</w:t>
      </w:r>
    </w:p>
    <w:p>
      <w:pPr>
        <w:pStyle w:val="Heading3"/>
      </w:pPr>
      <w:r>
        <w:rPr>
          <w:rFonts w:ascii="Calibri" w:hAnsi="Calibri"/>
          <w:b/>
          <w:color w:val="3B4259"/>
          <w:sz w:val="24"/>
        </w:rPr>
        <w:t>C. Ares Management (ARES) — Q2 2026 Earnings (July 31, 2026)</w:t>
      </w:r>
    </w:p>
    <w:p>
      <w:pPr>
        <w:pStyle w:val="ListBullet"/>
        <w:ind w:left="360" w:hanging="360"/>
      </w:pPr>
      <w:r>
        <w:rPr>
          <w:rFonts w:ascii="Calibri" w:hAnsi="Calibri"/>
          <w:b/>
          <w:color w:val="525866"/>
          <w:sz w:val="22"/>
        </w:rPr>
        <w:t>Record Fundraising:</w:t>
      </w:r>
      <w:r>
        <w:rPr>
          <w:rFonts w:ascii="Calibri" w:hAnsi="Calibri"/>
          <w:color w:val="525866"/>
          <w:sz w:val="22"/>
        </w:rPr>
        <w:t xml:space="preserve"> ARES raised ~$36B in Q2, the highest quarter in its history, with $66B raised in H1 2026, on track for another record year. Pathfinder III (alternative credit/ABF) raised $8.5B, significantly exceeding its $6.5B hard cap. </w:t>
      </w:r>
      <w:r>
        <w:rPr>
          <w:rFonts w:ascii="Calibri" w:hAnsi="Calibri"/>
          <w:i/>
          <w:color w:val="525866"/>
          <w:sz w:val="22"/>
        </w:rPr>
        <w:t>APO Read-Through:</w:t>
      </w:r>
      <w:r>
        <w:rPr>
          <w:rFonts w:ascii="Calibri" w:hAnsi="Calibri"/>
          <w:i/>
          <w:color w:val="525866"/>
          <w:sz w:val="22"/>
        </w:rPr>
        <w:t xml:space="preserve"> Record fundraising validates the institutional demand environment; positive for APO's capital formation.</w:t>
      </w:r>
    </w:p>
    <w:p>
      <w:pPr>
        <w:pStyle w:val="ListBullet"/>
        <w:ind w:left="360" w:hanging="360"/>
      </w:pPr>
      <w:r>
        <w:rPr>
          <w:rFonts w:ascii="Calibri" w:hAnsi="Calibri"/>
          <w:b/>
          <w:color w:val="525866"/>
          <w:sz w:val="22"/>
        </w:rPr>
        <w:t>FRE Growth (+20% YoY):</w:t>
      </w:r>
      <w:r>
        <w:rPr>
          <w:rFonts w:ascii="Calibri" w:hAnsi="Calibri"/>
          <w:color w:val="525866"/>
          <w:sz w:val="22"/>
        </w:rPr>
        <w:t xml:space="preserve"> ARES FRE of ~$491M, up 20% YoY, with YTD FRE margin of 42.3% (~100bps above prior year). Management fees exceeded $1B for the quarter (+14% YoY). Expects to approach upper end of margin guidance for full year. </w:t>
      </w:r>
      <w:r>
        <w:rPr>
          <w:rFonts w:ascii="Calibri" w:hAnsi="Calibri"/>
          <w:i/>
          <w:color w:val="525866"/>
          <w:sz w:val="22"/>
        </w:rPr>
        <w:t>APO Read-Through:</w:t>
      </w:r>
      <w:r>
        <w:rPr>
          <w:rFonts w:ascii="Calibri" w:hAnsi="Calibri"/>
          <w:i/>
          <w:color w:val="525866"/>
          <w:sz w:val="22"/>
        </w:rPr>
        <w:t xml:space="preserve"> Consistent 20% FRE growth trajectory validates APO's 20%+ FRE growth guidance as achievable.</w:t>
      </w:r>
    </w:p>
    <w:p>
      <w:pPr>
        <w:pStyle w:val="ListBullet"/>
        <w:ind w:left="360" w:hanging="360"/>
      </w:pPr>
      <w:r>
        <w:rPr>
          <w:rFonts w:ascii="Calibri" w:hAnsi="Calibri"/>
          <w:b/>
          <w:color w:val="525866"/>
          <w:sz w:val="22"/>
        </w:rPr>
        <w:t>Direct Lending Pipeline:</w:t>
      </w:r>
      <w:r>
        <w:rPr>
          <w:rFonts w:ascii="Calibri" w:hAnsi="Calibri"/>
          <w:color w:val="525866"/>
          <w:sz w:val="22"/>
        </w:rPr>
        <w:t xml:space="preserve"> U.S. direct lending deployment improved sequentially to ~$12.4B gross committed in Q2, with 75% from incumbent borrowers. Shadow pipeline (NDAs signed) up 35% QoQ, suggesting dramatic pickup in sponsored activity for H2. Non-accruals flat QoQ at &lt;2%. Portfolio companies showing 9% YoY organic EBITDA growth. </w:t>
      </w:r>
      <w:r>
        <w:rPr>
          <w:rFonts w:ascii="Calibri" w:hAnsi="Calibri"/>
          <w:i/>
          <w:color w:val="525866"/>
          <w:sz w:val="22"/>
        </w:rPr>
        <w:t>APO Read-Through:</w:t>
      </w:r>
      <w:r>
        <w:rPr>
          <w:rFonts w:ascii="Calibri" w:hAnsi="Calibri"/>
          <w:i/>
          <w:color w:val="525866"/>
          <w:sz w:val="22"/>
        </w:rPr>
        <w:t xml:space="preserve"> Improving direct lending pipeline is a positive signal for APO's origination outlook in H2 2026.</w:t>
      </w:r>
    </w:p>
    <w:p>
      <w:pPr>
        <w:pStyle w:val="ListBullet"/>
        <w:ind w:left="360" w:hanging="360"/>
      </w:pPr>
      <w:r>
        <w:rPr>
          <w:rFonts w:ascii="Calibri" w:hAnsi="Calibri"/>
          <w:b/>
          <w:color w:val="525866"/>
          <w:sz w:val="22"/>
        </w:rPr>
        <w:t>Wealth Channel &amp; BDC Redemptions:</w:t>
      </w:r>
      <w:r>
        <w:rPr>
          <w:rFonts w:ascii="Calibri" w:hAnsi="Calibri"/>
          <w:color w:val="525866"/>
          <w:sz w:val="22"/>
        </w:rPr>
        <w:t xml:space="preserve"> ARES raised ~$3.9B in wealth in Q2 (+15% YoY). Non-traded BDC redemption requests declined ~35% QoQ from core U.S. individual investor base. Redemption queue cut in half over last two quarters (from ~$1.2B to ~$600M). </w:t>
      </w:r>
      <w:r>
        <w:rPr>
          <w:rFonts w:ascii="Calibri" w:hAnsi="Calibri"/>
          <w:i/>
          <w:color w:val="525866"/>
          <w:sz w:val="22"/>
        </w:rPr>
        <w:t>APO Read-Through:</w:t>
      </w:r>
      <w:r>
        <w:rPr>
          <w:rFonts w:ascii="Calibri" w:hAnsi="Calibri"/>
          <w:i/>
          <w:color w:val="525866"/>
          <w:sz w:val="22"/>
        </w:rPr>
        <w:t xml:space="preserve"> Improving wealth channel trends and declining BDC redemptions are a positive signal for APO's ADS redemption trajectory.</w:t>
      </w:r>
    </w:p>
    <w:p>
      <w:pPr>
        <w:pStyle w:val="ListBullet"/>
        <w:ind w:left="360" w:hanging="360"/>
      </w:pPr>
      <w:r>
        <w:rPr>
          <w:rFonts w:ascii="Calibri" w:hAnsi="Calibri"/>
          <w:b/>
          <w:color w:val="525866"/>
          <w:sz w:val="22"/>
        </w:rPr>
        <w:t>Institutional Demand:</w:t>
      </w:r>
      <w:r>
        <w:rPr>
          <w:rFonts w:ascii="Calibri" w:hAnsi="Calibri"/>
          <w:color w:val="525866"/>
          <w:sz w:val="22"/>
        </w:rPr>
        <w:t xml:space="preserve"> ARES noted institutions "remain under-allocated to private credit" and perceive wider spreads as an opportunity. Institutional investors represented &gt;80% of gross equity inflows over LTM. European direct lending results exceeded initial expectations with a record pipeline heading into Q3. </w:t>
      </w:r>
      <w:r>
        <w:rPr>
          <w:rFonts w:ascii="Calibri" w:hAnsi="Calibri"/>
          <w:i/>
          <w:color w:val="525866"/>
          <w:sz w:val="22"/>
        </w:rPr>
        <w:t>APO Read-Through:</w:t>
      </w:r>
      <w:r>
        <w:rPr>
          <w:rFonts w:ascii="Calibri" w:hAnsi="Calibri"/>
          <w:i/>
          <w:color w:val="525866"/>
          <w:sz w:val="22"/>
        </w:rPr>
        <w:t xml:space="preserve"> Validates APO's thesis that institutional demand is countercyclical and robust; positive for origination.</w:t>
      </w:r>
    </w:p>
    <w:p>
      <w:pPr>
        <w:pStyle w:val="Heading3"/>
      </w:pPr>
      <w:r>
        <w:rPr>
          <w:rFonts w:ascii="Calibri" w:hAnsi="Calibri"/>
          <w:b/>
          <w:color w:val="3B4259"/>
          <w:sz w:val="24"/>
        </w:rPr>
        <w:t>D. Blue Owl Capital (OWL) — Q2 2026 Earnings (July 30, 2026)</w:t>
      </w:r>
    </w:p>
    <w:p>
      <w:pPr>
        <w:pStyle w:val="ListBullet"/>
        <w:ind w:left="360" w:hanging="360"/>
      </w:pPr>
      <w:r>
        <w:rPr>
          <w:rFonts w:ascii="Calibri" w:hAnsi="Calibri"/>
          <w:b/>
          <w:color w:val="525866"/>
          <w:sz w:val="22"/>
        </w:rPr>
        <w:t>Earnings Growth &amp; Guidance Beat Confidence:</w:t>
      </w:r>
      <w:r>
        <w:rPr>
          <w:rFonts w:ascii="Calibri" w:hAnsi="Calibri"/>
          <w:color w:val="525866"/>
          <w:sz w:val="22"/>
        </w:rPr>
        <w:t xml:space="preserve"> OWL grew earnings 9% YoY in Q2, with FRE margin of 58.5%. Management reaffirmed confidence in beating 2026 consensus estimates ($1.32 FRE/share, $0.89 D/share). Visibility into management fee growth building in Q3 and Q4. </w:t>
      </w:r>
      <w:r>
        <w:rPr>
          <w:rFonts w:ascii="Calibri" w:hAnsi="Calibri"/>
          <w:i/>
          <w:color w:val="525866"/>
          <w:sz w:val="22"/>
        </w:rPr>
        <w:t>APO Read-Through:</w:t>
      </w:r>
      <w:r>
        <w:rPr>
          <w:rFonts w:ascii="Calibri" w:hAnsi="Calibri"/>
          <w:i/>
          <w:color w:val="525866"/>
          <w:sz w:val="22"/>
        </w:rPr>
        <w:t xml:space="preserve"> Consistent earnings growth validates the alternative manager earnings trajectory.</w:t>
      </w:r>
    </w:p>
    <w:p>
      <w:pPr>
        <w:pStyle w:val="ListBullet"/>
        <w:ind w:left="360" w:hanging="360"/>
      </w:pPr>
      <w:r>
        <w:rPr>
          <w:rFonts w:ascii="Calibri" w:hAnsi="Calibri"/>
          <w:b/>
          <w:color w:val="525866"/>
          <w:sz w:val="22"/>
        </w:rPr>
        <w:t>Wealth Channel Recovery ("Inflection Point"):</w:t>
      </w:r>
      <w:r>
        <w:rPr>
          <w:rFonts w:ascii="Calibri" w:hAnsi="Calibri"/>
          <w:color w:val="525866"/>
          <w:sz w:val="22"/>
        </w:rPr>
        <w:t xml:space="preserve"> OWL noted a "bottoming of evergreen inflows," with July 1 close seeing &gt;50% increase in evergreen inflows vs. May 1 close. Non-traded BDC redemption requests modestly declined in Q2. 90% of OCI C fund investors did not request redemptions for the second consecutive quarter. </w:t>
      </w:r>
      <w:r>
        <w:rPr>
          <w:rFonts w:ascii="Calibri" w:hAnsi="Calibri"/>
          <w:i/>
          <w:color w:val="525866"/>
          <w:sz w:val="22"/>
        </w:rPr>
        <w:t>APO Read-Through:</w:t>
      </w:r>
      <w:r>
        <w:rPr>
          <w:rFonts w:ascii="Calibri" w:hAnsi="Calibri"/>
          <w:i/>
          <w:color w:val="525866"/>
          <w:sz w:val="22"/>
        </w:rPr>
        <w:t xml:space="preserve"> Improving wealth channel trends are a positive signal for APO's ADS redemption trajectory; the worst may be behind.</w:t>
      </w:r>
    </w:p>
    <w:p>
      <w:pPr>
        <w:pStyle w:val="ListBullet"/>
        <w:ind w:left="360" w:hanging="360"/>
      </w:pPr>
      <w:r>
        <w:rPr>
          <w:rFonts w:ascii="Calibri" w:hAnsi="Calibri"/>
          <w:b/>
          <w:color w:val="525866"/>
          <w:sz w:val="22"/>
        </w:rPr>
        <w:t>Direct Lending Credit Quality:</w:t>
      </w:r>
      <w:r>
        <w:rPr>
          <w:rFonts w:ascii="Calibri" w:hAnsi="Calibri"/>
          <w:color w:val="525866"/>
          <w:sz w:val="22"/>
        </w:rPr>
        <w:t xml:space="preserve"> Average annual loss rate of 12bps; no meaningful change in watch list vs. a year ago. Portfolio companies growing at mid-to-high single-digit pace. Meaningful repayments at par observed, indicating health and liquidity within the portfolio. </w:t>
      </w:r>
      <w:r>
        <w:rPr>
          <w:rFonts w:ascii="Calibri" w:hAnsi="Calibri"/>
          <w:i/>
          <w:color w:val="525866"/>
          <w:sz w:val="22"/>
        </w:rPr>
        <w:t>APO Read-Through:</w:t>
      </w:r>
      <w:r>
        <w:rPr>
          <w:rFonts w:ascii="Calibri" w:hAnsi="Calibri"/>
          <w:i/>
          <w:color w:val="525866"/>
          <w:sz w:val="22"/>
        </w:rPr>
        <w:t xml:space="preserve"> Strong credit quality supports APO's SRE and net spread outlook.</w:t>
      </w:r>
    </w:p>
    <w:p>
      <w:pPr>
        <w:pStyle w:val="ListBullet"/>
        <w:ind w:left="360" w:hanging="360"/>
      </w:pPr>
      <w:r>
        <w:rPr>
          <w:rFonts w:ascii="Calibri" w:hAnsi="Calibri"/>
          <w:b/>
          <w:color w:val="525866"/>
          <w:sz w:val="22"/>
        </w:rPr>
        <w:t>AI/Digital Infrastructure Scale:</w:t>
      </w:r>
      <w:r>
        <w:rPr>
          <w:rFonts w:ascii="Calibri" w:hAnsi="Calibri"/>
          <w:color w:val="525866"/>
          <w:sz w:val="22"/>
        </w:rPr>
        <w:t xml:space="preserve"> OWL's data center footprint spans 140+ data centers with 15.3GW of leased/owned capacity. Near-term opportunities of ~$160B across net lease and digital infrastructure. Cap rates in the data center book are not seeing compression. </w:t>
      </w:r>
      <w:r>
        <w:rPr>
          <w:rFonts w:ascii="Calibri" w:hAnsi="Calibri"/>
          <w:i/>
          <w:color w:val="525866"/>
          <w:sz w:val="22"/>
        </w:rPr>
        <w:t>APO Read-Through:</w:t>
      </w:r>
      <w:r>
        <w:rPr>
          <w:rFonts w:ascii="Calibri" w:hAnsi="Calibri"/>
          <w:i/>
          <w:color w:val="525866"/>
          <w:sz w:val="22"/>
        </w:rPr>
        <w:t xml:space="preserve"> Validates the scale of AI infrastructure opportunity for large alternative managers with origination capabilities.</w:t>
      </w:r>
    </w:p>
    <w:p>
      <w:pPr>
        <w:pStyle w:val="ListBullet"/>
        <w:ind w:left="360" w:hanging="360"/>
      </w:pPr>
      <w:r>
        <w:rPr>
          <w:rFonts w:ascii="Calibri" w:hAnsi="Calibri"/>
          <w:b/>
          <w:color w:val="525866"/>
          <w:sz w:val="22"/>
        </w:rPr>
        <w:t>Fundraising Diversification:</w:t>
      </w:r>
      <w:r>
        <w:rPr>
          <w:rFonts w:ascii="Calibri" w:hAnsi="Calibri"/>
          <w:color w:val="525866"/>
          <w:sz w:val="22"/>
        </w:rPr>
        <w:t xml:space="preserve"> OWL raised $7.8B total in Q2, with LTM capital raising of $50.5B (18% of total AUM). Institutional and insurance investors comprised ~75% of equity capital raised in Q2. $31B of AUM not yet paying fees, representing ~$380M of expected annual management fees once deployed. </w:t>
      </w:r>
      <w:r>
        <w:rPr>
          <w:rFonts w:ascii="Calibri" w:hAnsi="Calibri"/>
          <w:i/>
          <w:color w:val="525866"/>
          <w:sz w:val="22"/>
        </w:rPr>
        <w:t>APO Read-Through:</w:t>
      </w:r>
      <w:r>
        <w:rPr>
          <w:rFonts w:ascii="Calibri" w:hAnsi="Calibri"/>
          <w:i/>
          <w:color w:val="525866"/>
          <w:sz w:val="22"/>
        </w:rPr>
        <w:t xml:space="preserve"> Strong institutional demand and embedded fee pipeline are positive signals for the sector.</w:t>
      </w:r>
    </w:p>
    <w:p>
      <w:pPr>
        <w:pStyle w:val="Heading3"/>
      </w:pPr>
      <w:r>
        <w:rPr>
          <w:rFonts w:ascii="Calibri" w:hAnsi="Calibri"/>
          <w:b/>
          <w:color w:val="3B4259"/>
          <w:sz w:val="24"/>
        </w:rPr>
        <w:t>E. Morgan Stanley U.S. Financials Conference (June 10, 2026) — BX, KKR, ARES</w:t>
      </w:r>
    </w:p>
    <w:p>
      <w:r>
        <w:rPr>
          <w:rFonts w:ascii="Calibri" w:hAnsi="Calibri"/>
          <w:color w:val="525866"/>
          <w:sz w:val="22"/>
        </w:rPr>
        <w:t>These conference presentations occurred during Q2 2026 and reflect management views on the current quarter environment.</w:t>
      </w:r>
    </w:p>
    <w:p>
      <w:pPr>
        <w:pStyle w:val="ListBullet"/>
        <w:ind w:left="360" w:hanging="360"/>
      </w:pPr>
      <w:r>
        <w:rPr>
          <w:rFonts w:ascii="Calibri" w:hAnsi="Calibri"/>
          <w:b/>
          <w:color w:val="525866"/>
          <w:sz w:val="22"/>
        </w:rPr>
        <w:t>Blackstone (Jonathan Gray, June 9):</w:t>
      </w:r>
      <w:r>
        <w:rPr>
          <w:rFonts w:ascii="Calibri" w:hAnsi="Calibri"/>
          <w:color w:val="525866"/>
          <w:sz w:val="22"/>
        </w:rPr>
        <w:t xml:space="preserve"> Dismissed "private credit doom" fears; noted institutional demand remains robust with three funds hitting hard caps YTD. Wealth channel flows recovered to Q1 levels by June 1 after April/May slowdown driven by Iran conflict sentiment. Highlighted the $35B Broadcom deal (with APO) as validation of investment-grade private credit opportunity. Noted private credit delivers "170+ basis points" premium over liquid IG corporate markets. </w:t>
      </w:r>
      <w:r>
        <w:rPr>
          <w:rFonts w:ascii="Calibri" w:hAnsi="Calibri"/>
          <w:i/>
          <w:color w:val="525866"/>
          <w:sz w:val="22"/>
        </w:rPr>
        <w:t>APO Read-Through:</w:t>
      </w:r>
      <w:r>
        <w:rPr>
          <w:rFonts w:ascii="Calibri" w:hAnsi="Calibri"/>
          <w:i/>
          <w:color w:val="525866"/>
          <w:sz w:val="22"/>
        </w:rPr>
        <w:t xml:space="preserve"> Positive for APO's Q2 capital formation and origination; wealth channel recovery by June is encouraging for ADS.</w:t>
      </w:r>
    </w:p>
    <w:p>
      <w:pPr>
        <w:pStyle w:val="ListBullet"/>
        <w:ind w:left="360" w:hanging="360"/>
      </w:pPr>
      <w:r>
        <w:rPr>
          <w:rFonts w:ascii="Calibri" w:hAnsi="Calibri"/>
          <w:b/>
          <w:color w:val="525866"/>
          <w:sz w:val="22"/>
        </w:rPr>
        <w:t>KKR (June 10):</w:t>
      </w:r>
      <w:r>
        <w:rPr>
          <w:rFonts w:ascii="Calibri" w:hAnsi="Calibri"/>
          <w:color w:val="525866"/>
          <w:sz w:val="22"/>
        </w:rPr>
        <w:t xml:space="preserve"> Highlighted AI infrastructure as a "10x opportunity" vs. current deployment ($2.5–$3B/year vs. $25–$30B opportunity set). Hyperscalers projecting to double capacity in 2 years. Infrastructure allocations at record highs (6.4% of institutional portfolios, up from 3.3% seven years ago). Noted "no structural reason" for slowdown in infrastructure wealth flows. </w:t>
      </w:r>
      <w:r>
        <w:rPr>
          <w:rFonts w:ascii="Calibri" w:hAnsi="Calibri"/>
          <w:i/>
          <w:color w:val="525866"/>
          <w:sz w:val="22"/>
        </w:rPr>
        <w:t>APO Read-Through:</w:t>
      </w:r>
      <w:r>
        <w:rPr>
          <w:rFonts w:ascii="Calibri" w:hAnsi="Calibri"/>
          <w:i/>
          <w:color w:val="525866"/>
          <w:sz w:val="22"/>
        </w:rPr>
        <w:t xml:space="preserve"> Validates APO's AI origination thesis and pipeline; infrastructure demand is structural, not cyclical.</w:t>
      </w:r>
    </w:p>
    <w:p>
      <w:pPr>
        <w:pStyle w:val="ListBullet"/>
        <w:ind w:left="360" w:hanging="360"/>
      </w:pPr>
      <w:r>
        <w:rPr>
          <w:rFonts w:ascii="Calibri" w:hAnsi="Calibri"/>
          <w:b/>
          <w:color w:val="525866"/>
          <w:sz w:val="22"/>
        </w:rPr>
        <w:t>Ares (Michael Arougheti, June 10):</w:t>
      </w:r>
      <w:r>
        <w:rPr>
          <w:rFonts w:ascii="Calibri" w:hAnsi="Calibri"/>
          <w:color w:val="525866"/>
          <w:sz w:val="22"/>
        </w:rPr>
        <w:t xml:space="preserve"> Noted record pipeline levels across the platform; U.S. direct lending "starting to pick up after seasonally slow Q1." Wealth channel gross inflows of $3.6B in Q2 (+10% YoY). Pathfinder III (ABF fund) raised $8.5B at hard cap. Highlighted "scale premium" in large-ticket private credit where only a few players can execute, allowing them to "command a premium for that execution." </w:t>
      </w:r>
      <w:r>
        <w:rPr>
          <w:rFonts w:ascii="Calibri" w:hAnsi="Calibri"/>
          <w:i/>
          <w:color w:val="525866"/>
          <w:sz w:val="22"/>
        </w:rPr>
        <w:t>APO Read-Through:</w:t>
      </w:r>
      <w:r>
        <w:rPr>
          <w:rFonts w:ascii="Calibri" w:hAnsi="Calibri"/>
          <w:i/>
          <w:color w:val="525866"/>
          <w:sz w:val="22"/>
        </w:rPr>
        <w:t xml:space="preserve"> Improving deployment environment is a positive signal for APO's Q2 origination; scale premium validates APO's competitive moat in large-ticket deals.</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APO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Institutional Fundraising</w:t>
            </w:r>
          </w:p>
        </w:tc>
        <w:tc>
          <w:tcPr>
            <w:tcW w:type="dxa" w:w="2160"/>
          </w:tcPr>
          <w:p>
            <w:r>
              <w:rPr>
                <w:rFonts w:ascii="Calibri" w:hAnsi="Calibri"/>
                <w:sz w:val="22"/>
              </w:rPr>
              <w:t>BX, KKR, ARES all at record or near-record levels; hard caps hit</w:t>
            </w:r>
          </w:p>
        </w:tc>
        <w:tc>
          <w:tcPr>
            <w:tcW w:type="dxa" w:w="2160"/>
          </w:tcPr>
          <w:p>
            <w:r>
              <w:rPr>
                <w:rFonts w:ascii="Calibri" w:hAnsi="Calibri"/>
                <w:sz w:val="22"/>
              </w:rPr>
              <w:t>Positive for APO capital formation and AUM growth</w:t>
            </w:r>
          </w:p>
        </w:tc>
        <w:tc>
          <w:tcPr>
            <w:tcW w:type="dxa" w:w="2160"/>
          </w:tcPr>
          <w:p>
            <w:r>
              <w:rPr>
                <w:rFonts w:ascii="Calibri" w:hAnsi="Calibri"/>
                <w:b/>
                <w:color w:val="30A46C"/>
                <w:sz w:val="22"/>
              </w:rPr>
              <w:t>Positive</w:t>
            </w:r>
          </w:p>
        </w:tc>
      </w:tr>
      <w:tr>
        <w:tc>
          <w:tcPr>
            <w:tcW w:type="dxa" w:w="2160"/>
          </w:tcPr>
          <w:p>
            <w:r>
              <w:rPr>
                <w:rFonts w:ascii="Calibri" w:hAnsi="Calibri"/>
                <w:sz w:val="22"/>
              </w:rPr>
              <w:t>FRE Growth (~20% YoY)</w:t>
            </w:r>
          </w:p>
        </w:tc>
        <w:tc>
          <w:tcPr>
            <w:tcW w:type="dxa" w:w="2160"/>
          </w:tcPr>
          <w:p>
            <w:r>
              <w:rPr>
                <w:rFonts w:ascii="Calibri" w:hAnsi="Calibri"/>
                <w:sz w:val="22"/>
              </w:rPr>
              <w:t>BX +22%, KKR +34%, ARES +20%, OWL +9%</w:t>
            </w:r>
          </w:p>
        </w:tc>
        <w:tc>
          <w:tcPr>
            <w:tcW w:type="dxa" w:w="2160"/>
          </w:tcPr>
          <w:p>
            <w:r>
              <w:rPr>
                <w:rFonts w:ascii="Calibri" w:hAnsi="Calibri"/>
                <w:sz w:val="22"/>
              </w:rPr>
              <w:t>Validates APO's 20%+ FRE growth guidance as achievable</w:t>
            </w:r>
          </w:p>
        </w:tc>
        <w:tc>
          <w:tcPr>
            <w:tcW w:type="dxa" w:w="2160"/>
          </w:tcPr>
          <w:p>
            <w:r>
              <w:rPr>
                <w:rFonts w:ascii="Calibri" w:hAnsi="Calibri"/>
                <w:b/>
                <w:color w:val="30A46C"/>
                <w:sz w:val="22"/>
              </w:rPr>
              <w:t>Positive</w:t>
            </w:r>
          </w:p>
        </w:tc>
      </w:tr>
      <w:tr>
        <w:tc>
          <w:tcPr>
            <w:tcW w:type="dxa" w:w="2160"/>
          </w:tcPr>
          <w:p>
            <w:r>
              <w:rPr>
                <w:rFonts w:ascii="Calibri" w:hAnsi="Calibri"/>
                <w:sz w:val="22"/>
              </w:rPr>
              <w:t>AI Infrastructure Origination</w:t>
            </w:r>
          </w:p>
        </w:tc>
        <w:tc>
          <w:tcPr>
            <w:tcW w:type="dxa" w:w="2160"/>
          </w:tcPr>
          <w:p>
            <w:r>
              <w:rPr>
                <w:rFonts w:ascii="Calibri" w:hAnsi="Calibri"/>
                <w:sz w:val="22"/>
              </w:rPr>
              <w:t>BX $35B Broadcom deal (with APO); KKR Helix $10B+; OWL 15.3GW data centers</w:t>
            </w:r>
          </w:p>
        </w:tc>
        <w:tc>
          <w:tcPr>
            <w:tcW w:type="dxa" w:w="2160"/>
          </w:tcPr>
          <w:p>
            <w:r>
              <w:rPr>
                <w:rFonts w:ascii="Calibri" w:hAnsi="Calibri"/>
                <w:sz w:val="22"/>
              </w:rPr>
              <w:t>Validates APO's AI origination thesis; ACS fee upside</w:t>
            </w:r>
          </w:p>
        </w:tc>
        <w:tc>
          <w:tcPr>
            <w:tcW w:type="dxa" w:w="2160"/>
          </w:tcPr>
          <w:p>
            <w:r>
              <w:rPr>
                <w:rFonts w:ascii="Calibri" w:hAnsi="Calibri"/>
                <w:b/>
                <w:color w:val="30A46C"/>
                <w:sz w:val="22"/>
              </w:rPr>
              <w:t>Positive</w:t>
            </w:r>
          </w:p>
        </w:tc>
      </w:tr>
      <w:tr>
        <w:tc>
          <w:tcPr>
            <w:tcW w:type="dxa" w:w="2160"/>
          </w:tcPr>
          <w:p>
            <w:r>
              <w:rPr>
                <w:rFonts w:ascii="Calibri" w:hAnsi="Calibri"/>
                <w:sz w:val="22"/>
              </w:rPr>
              <w:t>Wealth Channel / BDC Redemptions</w:t>
            </w:r>
          </w:p>
        </w:tc>
        <w:tc>
          <w:tcPr>
            <w:tcW w:type="dxa" w:w="2160"/>
          </w:tcPr>
          <w:p>
            <w:r>
              <w:rPr>
                <w:rFonts w:ascii="Calibri" w:hAnsi="Calibri"/>
                <w:sz w:val="22"/>
              </w:rPr>
              <w:t>OWL: &gt;50% increase in July inflows; ARES: -35% QoQ redemptions; BX: BCRED redemptions declining</w:t>
            </w:r>
          </w:p>
        </w:tc>
        <w:tc>
          <w:tcPr>
            <w:tcW w:type="dxa" w:w="2160"/>
          </w:tcPr>
          <w:p>
            <w:r>
              <w:rPr>
                <w:rFonts w:ascii="Calibri" w:hAnsi="Calibri"/>
                <w:sz w:val="22"/>
              </w:rPr>
              <w:t>Positive signal for APO ADS redemption trajectory</w:t>
            </w:r>
          </w:p>
        </w:tc>
        <w:tc>
          <w:tcPr>
            <w:tcW w:type="dxa" w:w="2160"/>
          </w:tcPr>
          <w:p>
            <w:r>
              <w:rPr>
                <w:rFonts w:ascii="Calibri" w:hAnsi="Calibri"/>
                <w:b/>
                <w:color w:val="30A46C"/>
                <w:sz w:val="22"/>
              </w:rPr>
              <w:t>Positive</w:t>
            </w:r>
          </w:p>
        </w:tc>
      </w:tr>
      <w:tr>
        <w:tc>
          <w:tcPr>
            <w:tcW w:type="dxa" w:w="2160"/>
          </w:tcPr>
          <w:p>
            <w:r>
              <w:rPr>
                <w:rFonts w:ascii="Calibri" w:hAnsi="Calibri"/>
                <w:sz w:val="22"/>
              </w:rPr>
              <w:t>Direct Lending Credit Quality</w:t>
            </w:r>
          </w:p>
        </w:tc>
        <w:tc>
          <w:tcPr>
            <w:tcW w:type="dxa" w:w="2160"/>
          </w:tcPr>
          <w:p>
            <w:r>
              <w:rPr>
                <w:rFonts w:ascii="Calibri" w:hAnsi="Calibri"/>
                <w:sz w:val="22"/>
              </w:rPr>
              <w:t>OWL: 12bps loss rate; ARES: &lt;2% non-accruals, 9% EBITDA growth; BX: stable</w:t>
            </w:r>
          </w:p>
        </w:tc>
        <w:tc>
          <w:tcPr>
            <w:tcW w:type="dxa" w:w="2160"/>
          </w:tcPr>
          <w:p>
            <w:r>
              <w:rPr>
                <w:rFonts w:ascii="Calibri" w:hAnsi="Calibri"/>
                <w:sz w:val="22"/>
              </w:rPr>
              <w:t>Supports APO SRE and net spread outlook</w:t>
            </w:r>
          </w:p>
        </w:tc>
        <w:tc>
          <w:tcPr>
            <w:tcW w:type="dxa" w:w="2160"/>
          </w:tcPr>
          <w:p>
            <w:r>
              <w:rPr>
                <w:rFonts w:ascii="Calibri" w:hAnsi="Calibri"/>
                <w:b/>
                <w:color w:val="30A46C"/>
                <w:sz w:val="22"/>
              </w:rPr>
              <w:t>Positive</w:t>
            </w:r>
          </w:p>
        </w:tc>
      </w:tr>
      <w:tr>
        <w:tc>
          <w:tcPr>
            <w:tcW w:type="dxa" w:w="2160"/>
          </w:tcPr>
          <w:p>
            <w:r>
              <w:rPr>
                <w:rFonts w:ascii="Calibri" w:hAnsi="Calibri"/>
                <w:sz w:val="22"/>
              </w:rPr>
              <w:t>Private Credit Narrative</w:t>
            </w:r>
          </w:p>
        </w:tc>
        <w:tc>
          <w:tcPr>
            <w:tcW w:type="dxa" w:w="2160"/>
          </w:tcPr>
          <w:p>
            <w:r>
              <w:rPr>
                <w:rFonts w:ascii="Calibri" w:hAnsi="Calibri"/>
                <w:sz w:val="22"/>
              </w:rPr>
              <w:t>KKR: "private credit anxiety" overblown; BX: "doom" fears misplaced; ARES: institutions under-allocated</w:t>
            </w:r>
          </w:p>
        </w:tc>
        <w:tc>
          <w:tcPr>
            <w:tcW w:type="dxa" w:w="2160"/>
          </w:tcPr>
          <w:p>
            <w:r>
              <w:rPr>
                <w:rFonts w:ascii="Calibri" w:hAnsi="Calibri"/>
                <w:sz w:val="22"/>
              </w:rPr>
              <w:t>Reduces risk of sentiment-driven multiple compression for APO</w:t>
            </w:r>
          </w:p>
        </w:tc>
        <w:tc>
          <w:tcPr>
            <w:tcW w:type="dxa" w:w="2160"/>
          </w:tcPr>
          <w:p>
            <w:r>
              <w:rPr>
                <w:rFonts w:ascii="Calibri" w:hAnsi="Calibri"/>
                <w:b/>
                <w:color w:val="30A46C"/>
                <w:sz w:val="22"/>
              </w:rPr>
              <w:t>Positive</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