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Apollo Global Management (APO)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Apollo Global Management, Inc.</w:t>
            </w:r>
          </w:p>
        </w:tc>
        <w:tc>
          <w:tcPr>
            <w:tcW w:type="dxa" w:w="2160"/>
          </w:tcPr>
          <w:p>
            <w:r>
              <w:rPr>
                <w:rFonts w:ascii="Calibri" w:hAnsi="Calibri"/>
                <w:b/>
                <w:sz w:val="22"/>
              </w:rPr>
              <w:t>Earnings Date</w:t>
            </w:r>
          </w:p>
        </w:tc>
        <w:tc>
          <w:tcPr>
            <w:tcW w:type="dxa" w:w="2160"/>
          </w:tcPr>
          <w:p>
            <w:r>
              <w:rPr>
                <w:rFonts w:ascii="Calibri" w:hAnsi="Calibri"/>
                <w:sz w:val="22"/>
              </w:rPr>
              <w:t>August 4, 2026 (Pre-Market)</w:t>
            </w:r>
          </w:p>
        </w:tc>
      </w:tr>
      <w:tr>
        <w:tc>
          <w:tcPr>
            <w:tcW w:type="dxa" w:w="2160"/>
          </w:tcPr>
          <w:p>
            <w:r>
              <w:rPr>
                <w:rFonts w:ascii="Calibri" w:hAnsi="Calibri"/>
                <w:b/>
                <w:sz w:val="22"/>
              </w:rPr>
              <w:t>Ticker</w:t>
            </w:r>
          </w:p>
        </w:tc>
        <w:tc>
          <w:tcPr>
            <w:tcW w:type="dxa" w:w="2160"/>
          </w:tcPr>
          <w:p>
            <w:r>
              <w:rPr>
                <w:rFonts w:ascii="Calibri" w:hAnsi="Calibri"/>
                <w:sz w:val="22"/>
              </w:rPr>
              <w:t>APO (NYSE)</w:t>
            </w:r>
          </w:p>
        </w:tc>
        <w:tc>
          <w:tcPr>
            <w:tcW w:type="dxa" w:w="2160"/>
          </w:tcPr>
          <w:p>
            <w:r>
              <w:rPr>
                <w:rFonts w:ascii="Calibri" w:hAnsi="Calibri"/>
                <w:b/>
                <w:sz w:val="22"/>
              </w:rPr>
              <w:t>Reporting Period</w:t>
            </w:r>
          </w:p>
        </w:tc>
        <w:tc>
          <w:tcPr>
            <w:tcW w:type="dxa" w:w="2160"/>
          </w:tcPr>
          <w:p>
            <w:r>
              <w:rPr>
                <w:rFonts w:ascii="Calibri" w:hAnsi="Calibri"/>
                <w:sz w:val="22"/>
              </w:rPr>
              <w:t>Q2 2026 (April 1 – June 30, 2026)</w:t>
            </w:r>
          </w:p>
        </w:tc>
      </w:tr>
      <w:tr>
        <w:tc>
          <w:tcPr>
            <w:tcW w:type="dxa" w:w="2160"/>
          </w:tcPr>
          <w:p>
            <w:r>
              <w:rPr>
                <w:rFonts w:ascii="Calibri" w:hAnsi="Calibri"/>
                <w:b/>
                <w:sz w:val="22"/>
              </w:rPr>
              <w:t>Prepared</w:t>
            </w:r>
          </w:p>
        </w:tc>
        <w:tc>
          <w:tcPr>
            <w:tcW w:type="dxa" w:w="2160"/>
          </w:tcPr>
          <w:p>
            <w:r>
              <w:rPr>
                <w:rFonts w:ascii="Calibri" w:hAnsi="Calibri"/>
                <w:sz w:val="22"/>
              </w:rPr>
              <w:t>August 3, 2026</w:t>
            </w:r>
          </w:p>
        </w:tc>
        <w:tc>
          <w:tcPr>
            <w:tcW w:type="dxa" w:w="2160"/>
          </w:tcPr>
          <w:p>
            <w:r>
              <w:rPr>
                <w:rFonts w:ascii="Calibri" w:hAnsi="Calibri"/>
                <w:b/>
                <w:sz w:val="22"/>
              </w:rPr>
              <w:t>Earnings Call</w:t>
            </w:r>
          </w:p>
        </w:tc>
        <w:tc>
          <w:tcPr>
            <w:tcW w:type="dxa" w:w="2160"/>
          </w:tcPr>
          <w:p>
            <w:r>
              <w:rPr>
                <w:rFonts w:ascii="Calibri" w:hAnsi="Calibri"/>
                <w:sz w:val="22"/>
              </w:rPr>
              <w:t>August 4, 2026 — 8:30 AM ET</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on </w:t>
      </w:r>
      <w:r>
        <w:rPr>
          <w:rFonts w:ascii="Calibri" w:hAnsi="Calibri"/>
          <w:b/>
          <w:color w:val="525866"/>
          <w:sz w:val="22"/>
        </w:rPr>
        <w:t>FRE</w:t>
      </w:r>
      <w:r>
        <w:rPr>
          <w:rFonts w:ascii="Calibri" w:hAnsi="Calibri"/>
          <w:color w:val="525866"/>
          <w:sz w:val="22"/>
        </w:rPr>
        <w:t xml:space="preserve"> — the highest-conviction metric — with the bigger swing factor being whether </w:t>
      </w:r>
      <w:r>
        <w:rPr>
          <w:rFonts w:ascii="Calibri" w:hAnsi="Calibri"/>
          <w:b/>
          <w:color w:val="525866"/>
          <w:sz w:val="22"/>
        </w:rPr>
        <w:t>SRE recovers meaningfully from Q1’s depressed 97 bps net spread</w:t>
      </w:r>
      <w:r>
        <w:rPr>
          <w:rFonts w:ascii="Calibri" w:hAnsi="Calibri"/>
          <w:color w:val="525866"/>
          <w:sz w:val="22"/>
        </w:rPr>
        <w:t xml:space="preserve"> after management guided to 120–125 bps for the full year; the July 1 pre-announcement of ~$350M in Q2 alternative net investment income (implying a ~9% annualized alts return) is a clear positive signal but still below the 11% full-year assumption embedded in guidance.</w:t>
      </w:r>
    </w:p>
    <w:p>
      <w:r>
        <w:rPr>
          <w:rFonts w:ascii="Calibri" w:hAnsi="Calibri"/>
          <w:color w:val="525866"/>
          <w:sz w:val="22"/>
        </w:rPr>
        <w:t xml:space="preserve">Apollo heads into Q2 2026 earnings with a </w:t>
      </w:r>
      <w:r>
        <w:rPr>
          <w:rFonts w:ascii="Calibri" w:hAnsi="Calibri"/>
          <w:b/>
          <w:color w:val="525866"/>
          <w:sz w:val="22"/>
        </w:rPr>
        <w:t>constructive but not euphoric setup</w:t>
      </w:r>
      <w:r>
        <w:rPr>
          <w:rFonts w:ascii="Calibri" w:hAnsi="Calibri"/>
          <w:color w:val="525866"/>
          <w:sz w:val="22"/>
        </w:rPr>
        <w:t xml:space="preserve">. Consensus FRE of ~$767M implies roughly 20% year-over-year growth, squarely in line with management’s reaffirmed “20%-plus” target, making the bar achievable but not easy to clear given the record $728M Q1 print. On SRE, the July 1 pre-announcement of ~$350M in Q2 alternative net investment income (9% annualized return) is a step up from Q1’s 6% alts return, but still trails the 11% full-year assumption, meaning the Street’s ~$874M SRE consensus likely requires a clean core spread result to be met. Management’s tone since Q1 has been </w:t>
      </w:r>
      <w:r>
        <w:rPr>
          <w:rFonts w:ascii="Calibri" w:hAnsi="Calibri"/>
          <w:b/>
          <w:color w:val="525866"/>
          <w:sz w:val="22"/>
        </w:rPr>
        <w:t>incrementally positive</w:t>
      </w:r>
      <w:r>
        <w:rPr>
          <w:rFonts w:ascii="Calibri" w:hAnsi="Calibri"/>
          <w:color w:val="525866"/>
          <w:sz w:val="22"/>
        </w:rPr>
        <w:t xml:space="preserve"> — Marc Rowan flagged Q2 origination could approach the all-time record $97B quarter, Athene reported strong April/May retail and flow reinsurance volumes, and the HECS pipeline was described as the deepest in firm history — all of which support FRE upside through ACS fees. Estimate revisions have drifted </w:t>
      </w:r>
      <w:r>
        <w:rPr>
          <w:rFonts w:ascii="Calibri" w:hAnsi="Calibri"/>
          <w:b/>
          <w:color w:val="525866"/>
          <w:sz w:val="22"/>
        </w:rPr>
        <w:t>modestly lower since the Q1 print</w:t>
      </w:r>
      <w:r>
        <w:rPr>
          <w:rFonts w:ascii="Calibri" w:hAnsi="Calibri"/>
          <w:color w:val="525866"/>
          <w:sz w:val="22"/>
        </w:rPr>
        <w:t xml:space="preserve"> (FRE consensus down ~$4M, SRE down ~$41M from the post-Q1 baseline), suggesting the Street has absorbed the alts headwind but not fully priced in the origination upside. The stock is down ~9% since the May 6 earnings date versus SPY flat, trading at roughly 12.7x NTM earnings — a compressed multiple that reflects lingering private credit sentiment concerns rather than fundamental deterioration. The </w:t>
      </w:r>
      <w:r>
        <w:rPr>
          <w:rFonts w:ascii="Calibri" w:hAnsi="Calibri"/>
          <w:b/>
          <w:color w:val="525866"/>
          <w:sz w:val="22"/>
        </w:rPr>
        <w:t>key wildcard</w:t>
      </w:r>
      <w:r>
        <w:rPr>
          <w:rFonts w:ascii="Calibri" w:hAnsi="Calibri"/>
          <w:color w:val="525866"/>
          <w:sz w:val="22"/>
        </w:rPr>
        <w:t xml:space="preserve"> is the magnitude of Q2 origination: if Apollo delivers near or above the $97B record, ACS fees could materially exceed the ~$250M consensus, driving a meaningful FRE beat and likely re-rating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achievable but not low bar on FRE</w:t>
      </w:r>
      <w:r>
        <w:rPr>
          <w:rFonts w:ascii="Calibri" w:hAnsi="Calibri"/>
          <w:color w:val="525866"/>
          <w:sz w:val="22"/>
        </w:rPr>
        <w:t xml:space="preserve"> (~$767M, +20% YoY) while </w:t>
      </w:r>
      <w:r>
        <w:rPr>
          <w:rFonts w:ascii="Calibri" w:hAnsi="Calibri"/>
          <w:b/>
          <w:color w:val="525866"/>
          <w:sz w:val="22"/>
        </w:rPr>
        <w:t>SRE (~$874M) is the bigger swing factor</w:t>
      </w:r>
      <w:r>
        <w:rPr>
          <w:rFonts w:ascii="Calibri" w:hAnsi="Calibri"/>
          <w:color w:val="525866"/>
          <w:sz w:val="22"/>
        </w:rPr>
        <w:t xml:space="preserve"> — the July 1 pre-announcement of ~9% alts return vs. the 11% full-year assumption means SRE could miss unless core spread performance is clean; ACS fees are the upside lever if origination approaches the record $97B quarter.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Fee-Related Earnings (FRE)</w:t>
            </w:r>
          </w:p>
        </w:tc>
        <w:tc>
          <w:tcPr>
            <w:tcW w:type="dxa" w:w="1234"/>
          </w:tcPr>
          <w:p>
            <w:r>
              <w:rPr>
                <w:rFonts w:ascii="Calibri" w:hAnsi="Calibri"/>
                <w:sz w:val="22"/>
              </w:rPr>
              <w:t>$728M</w:t>
            </w:r>
          </w:p>
        </w:tc>
        <w:tc>
          <w:tcPr>
            <w:tcW w:type="dxa" w:w="1234"/>
          </w:tcPr>
          <w:p>
            <w:r>
              <w:rPr>
                <w:rFonts w:ascii="Calibri" w:hAnsi="Calibri"/>
                <w:sz w:val="22"/>
              </w:rPr>
              <w:t>$627M</w:t>
            </w:r>
          </w:p>
        </w:tc>
        <w:tc>
          <w:tcPr>
            <w:tcW w:type="dxa" w:w="1234"/>
          </w:tcPr>
          <w:p>
            <w:r>
              <w:rPr>
                <w:rFonts w:ascii="Calibri" w:hAnsi="Calibri"/>
                <w:sz w:val="22"/>
              </w:rPr>
              <w:t>$767M</w:t>
            </w:r>
          </w:p>
        </w:tc>
        <w:tc>
          <w:tcPr>
            <w:tcW w:type="dxa" w:w="1234"/>
          </w:tcPr>
          <w:p>
            <w:r>
              <w:rPr>
                <w:rFonts w:ascii="Calibri" w:hAnsi="Calibri"/>
                <w:b/>
                <w:color w:val="30A46C"/>
                <w:sz w:val="22"/>
              </w:rPr>
              <w:t>+22% YoY</w:t>
            </w:r>
          </w:p>
        </w:tc>
        <w:tc>
          <w:tcPr>
            <w:tcW w:type="dxa" w:w="1234"/>
          </w:tcPr>
          <w:p>
            <w:r>
              <w:rPr>
                <w:rFonts w:ascii="Calibri" w:hAnsi="Calibri"/>
                <w:sz w:val="22"/>
              </w:rPr>
              <w:t>20%+ FY2026 growth</w:t>
            </w:r>
          </w:p>
        </w:tc>
        <w:tc>
          <w:tcPr>
            <w:tcW w:type="dxa" w:w="1234"/>
          </w:tcPr>
          <w:p>
            <w:r>
              <w:rPr>
                <w:rFonts w:ascii="Calibri" w:hAnsi="Calibri"/>
                <w:sz w:val="22"/>
              </w:rPr>
              <w:t>In line with target</w:t>
            </w:r>
          </w:p>
        </w:tc>
      </w:tr>
      <w:tr>
        <w:tc>
          <w:tcPr>
            <w:tcW w:type="dxa" w:w="1234"/>
          </w:tcPr>
          <w:p>
            <w:r>
              <w:rPr>
                <w:rFonts w:ascii="Calibri" w:hAnsi="Calibri"/>
                <w:sz w:val="22"/>
              </w:rPr>
              <w:t>Spread-Related Earnings (SRE)</w:t>
            </w:r>
          </w:p>
        </w:tc>
        <w:tc>
          <w:tcPr>
            <w:tcW w:type="dxa" w:w="1234"/>
          </w:tcPr>
          <w:p>
            <w:r>
              <w:rPr>
                <w:rFonts w:ascii="Calibri" w:hAnsi="Calibri"/>
                <w:sz w:val="22"/>
              </w:rPr>
              <w:t>$719M</w:t>
            </w:r>
          </w:p>
        </w:tc>
        <w:tc>
          <w:tcPr>
            <w:tcW w:type="dxa" w:w="1234"/>
          </w:tcPr>
          <w:p>
            <w:r>
              <w:rPr>
                <w:rFonts w:ascii="Calibri" w:hAnsi="Calibri"/>
                <w:sz w:val="22"/>
              </w:rPr>
              <w:t>$821M</w:t>
            </w:r>
          </w:p>
        </w:tc>
        <w:tc>
          <w:tcPr>
            <w:tcW w:type="dxa" w:w="1234"/>
          </w:tcPr>
          <w:p>
            <w:r>
              <w:rPr>
                <w:rFonts w:ascii="Calibri" w:hAnsi="Calibri"/>
                <w:sz w:val="22"/>
              </w:rPr>
              <w:t>$874M</w:t>
            </w:r>
          </w:p>
        </w:tc>
        <w:tc>
          <w:tcPr>
            <w:tcW w:type="dxa" w:w="1234"/>
          </w:tcPr>
          <w:p>
            <w:r>
              <w:rPr>
                <w:rFonts w:ascii="Calibri" w:hAnsi="Calibri"/>
                <w:b/>
                <w:color w:val="30A46C"/>
                <w:sz w:val="22"/>
              </w:rPr>
              <w:t>+6% YoY</w:t>
            </w:r>
          </w:p>
        </w:tc>
        <w:tc>
          <w:tcPr>
            <w:tcW w:type="dxa" w:w="1234"/>
          </w:tcPr>
          <w:p>
            <w:r>
              <w:rPr>
                <w:rFonts w:ascii="Calibri" w:hAnsi="Calibri"/>
                <w:sz w:val="22"/>
              </w:rPr>
              <w:t>10% FY2026 growth (11% alts return)</w:t>
            </w:r>
          </w:p>
        </w:tc>
        <w:tc>
          <w:tcPr>
            <w:tcW w:type="dxa" w:w="1234"/>
          </w:tcPr>
          <w:p>
            <w:r>
              <w:rPr>
                <w:rFonts w:ascii="Calibri" w:hAnsi="Calibri"/>
                <w:sz w:val="22"/>
              </w:rPr>
              <w:t>~3% below implied run-rate</w:t>
            </w:r>
          </w:p>
        </w:tc>
      </w:tr>
      <w:tr>
        <w:tc>
          <w:tcPr>
            <w:tcW w:type="dxa" w:w="1234"/>
          </w:tcPr>
          <w:p>
            <w:r>
              <w:rPr>
                <w:rFonts w:ascii="Calibri" w:hAnsi="Calibri"/>
                <w:sz w:val="22"/>
              </w:rPr>
              <w:t>Distributable EPS – Operating</w:t>
            </w:r>
          </w:p>
        </w:tc>
        <w:tc>
          <w:tcPr>
            <w:tcW w:type="dxa" w:w="1234"/>
          </w:tcPr>
          <w:p>
            <w:r>
              <w:rPr>
                <w:rFonts w:ascii="Calibri" w:hAnsi="Calibri"/>
                <w:sz w:val="22"/>
              </w:rPr>
              <w:t>$1.94</w:t>
            </w:r>
          </w:p>
        </w:tc>
        <w:tc>
          <w:tcPr>
            <w:tcW w:type="dxa" w:w="1234"/>
          </w:tcPr>
          <w:p>
            <w:r>
              <w:rPr>
                <w:rFonts w:ascii="Calibri" w:hAnsi="Calibri"/>
                <w:sz w:val="22"/>
              </w:rPr>
              <w:t>$1.92</w:t>
            </w:r>
          </w:p>
        </w:tc>
        <w:tc>
          <w:tcPr>
            <w:tcW w:type="dxa" w:w="1234"/>
          </w:tcPr>
          <w:p>
            <w:r>
              <w:rPr>
                <w:rFonts w:ascii="Calibri" w:hAnsi="Calibri"/>
                <w:sz w:val="22"/>
              </w:rPr>
              <w:t>$2.16</w:t>
            </w:r>
          </w:p>
        </w:tc>
        <w:tc>
          <w:tcPr>
            <w:tcW w:type="dxa" w:w="1234"/>
          </w:tcPr>
          <w:p>
            <w:r>
              <w:rPr>
                <w:rFonts w:ascii="Calibri" w:hAnsi="Calibri"/>
                <w:b/>
                <w:color w:val="30A46C"/>
                <w:sz w:val="22"/>
              </w:rPr>
              <w:t>+13% YoY</w:t>
            </w:r>
          </w:p>
        </w:tc>
        <w:tc>
          <w:tcPr>
            <w:tcW w:type="dxa" w:w="1234"/>
          </w:tcPr>
          <w:p>
            <w:r>
              <w:rPr>
                <w:rFonts w:ascii="Calibri" w:hAnsi="Calibri"/>
                <w:sz w:val="22"/>
              </w:rPr>
              <w:t>~$8.84 FY2026 consensus</w:t>
            </w:r>
          </w:p>
        </w:tc>
        <w:tc>
          <w:tcPr>
            <w:tcW w:type="dxa" w:w="1234"/>
          </w:tcPr>
          <w:p>
            <w:r>
              <w:rPr>
                <w:rFonts w:ascii="Calibri" w:hAnsi="Calibri"/>
                <w:sz w:val="22"/>
              </w:rPr>
              <w:t>In line</w:t>
            </w:r>
          </w:p>
        </w:tc>
      </w:tr>
      <w:tr>
        <w:tc>
          <w:tcPr>
            <w:tcW w:type="dxa" w:w="1234"/>
          </w:tcPr>
          <w:p>
            <w:r>
              <w:rPr>
                <w:rFonts w:ascii="Calibri" w:hAnsi="Calibri"/>
                <w:sz w:val="22"/>
              </w:rPr>
              <w:t>End-of-Period AUM</w:t>
            </w:r>
          </w:p>
        </w:tc>
        <w:tc>
          <w:tcPr>
            <w:tcW w:type="dxa" w:w="1234"/>
          </w:tcPr>
          <w:p>
            <w:r>
              <w:rPr>
                <w:rFonts w:ascii="Calibri" w:hAnsi="Calibri"/>
                <w:sz w:val="22"/>
              </w:rPr>
              <w:t>$1,026B</w:t>
            </w:r>
          </w:p>
        </w:tc>
        <w:tc>
          <w:tcPr>
            <w:tcW w:type="dxa" w:w="1234"/>
          </w:tcPr>
          <w:p>
            <w:r>
              <w:rPr>
                <w:rFonts w:ascii="Calibri" w:hAnsi="Calibri"/>
                <w:sz w:val="22"/>
              </w:rPr>
              <w:t>$840B</w:t>
            </w:r>
          </w:p>
        </w:tc>
        <w:tc>
          <w:tcPr>
            <w:tcW w:type="dxa" w:w="1234"/>
          </w:tcPr>
          <w:p>
            <w:r>
              <w:rPr>
                <w:rFonts w:ascii="Calibri" w:hAnsi="Calibri"/>
                <w:sz w:val="22"/>
              </w:rPr>
              <w:t>$1,056B</w:t>
            </w:r>
          </w:p>
        </w:tc>
        <w:tc>
          <w:tcPr>
            <w:tcW w:type="dxa" w:w="1234"/>
          </w:tcPr>
          <w:p>
            <w:r>
              <w:rPr>
                <w:rFonts w:ascii="Calibri" w:hAnsi="Calibri"/>
                <w:b/>
                <w:color w:val="30A46C"/>
                <w:sz w:val="22"/>
              </w:rPr>
              <w:t>+26% YoY</w:t>
            </w:r>
          </w:p>
        </w:tc>
        <w:tc>
          <w:tcPr>
            <w:tcW w:type="dxa" w:w="1234"/>
          </w:tcPr>
          <w:p>
            <w:r>
              <w:rPr>
                <w:rFonts w:ascii="Calibri" w:hAnsi="Calibri"/>
                <w:sz w:val="22"/>
              </w:rPr>
              <w:t>Solidly north of $150B annual inflows</w:t>
            </w:r>
          </w:p>
        </w:tc>
        <w:tc>
          <w:tcPr>
            <w:tcW w:type="dxa" w:w="1234"/>
          </w:tcPr>
          <w:p>
            <w:r>
              <w:rPr>
                <w:rFonts w:ascii="Calibri" w:hAnsi="Calibri"/>
                <w:sz w:val="22"/>
              </w:rPr>
              <w:t>On track</w:t>
            </w:r>
          </w:p>
        </w:tc>
      </w:tr>
      <w:tr>
        <w:tc>
          <w:tcPr>
            <w:tcW w:type="dxa" w:w="1234"/>
          </w:tcPr>
          <w:p>
            <w:r>
              <w:rPr>
                <w:rFonts w:ascii="Calibri" w:hAnsi="Calibri"/>
                <w:sz w:val="22"/>
              </w:rPr>
              <w:t>Gross Capital Deployment (Origination)</w:t>
            </w:r>
          </w:p>
        </w:tc>
        <w:tc>
          <w:tcPr>
            <w:tcW w:type="dxa" w:w="1234"/>
          </w:tcPr>
          <w:p>
            <w:r>
              <w:rPr>
                <w:rFonts w:ascii="Calibri" w:hAnsi="Calibri"/>
                <w:sz w:val="22"/>
              </w:rPr>
              <w:t>$103B</w:t>
            </w:r>
          </w:p>
        </w:tc>
        <w:tc>
          <w:tcPr>
            <w:tcW w:type="dxa" w:w="1234"/>
          </w:tcPr>
          <w:p>
            <w:r>
              <w:rPr>
                <w:rFonts w:ascii="Calibri" w:hAnsi="Calibri"/>
                <w:sz w:val="22"/>
              </w:rPr>
              <w:t>$90B</w:t>
            </w:r>
          </w:p>
        </w:tc>
        <w:tc>
          <w:tcPr>
            <w:tcW w:type="dxa" w:w="1234"/>
          </w:tcPr>
          <w:p>
            <w:r>
              <w:rPr>
                <w:rFonts w:ascii="Calibri" w:hAnsi="Calibri"/>
                <w:sz w:val="22"/>
              </w:rPr>
              <w:t>$97B</w:t>
            </w:r>
          </w:p>
        </w:tc>
        <w:tc>
          <w:tcPr>
            <w:tcW w:type="dxa" w:w="1234"/>
          </w:tcPr>
          <w:p>
            <w:r>
              <w:rPr>
                <w:rFonts w:ascii="Calibri" w:hAnsi="Calibri"/>
                <w:b/>
                <w:color w:val="30A46C"/>
                <w:sz w:val="22"/>
              </w:rPr>
              <w:t>+8% YoY</w:t>
            </w:r>
          </w:p>
        </w:tc>
        <w:tc>
          <w:tcPr>
            <w:tcW w:type="dxa" w:w="1234"/>
          </w:tcPr>
          <w:p>
            <w:r>
              <w:rPr>
                <w:rFonts w:ascii="Calibri" w:hAnsi="Calibri"/>
                <w:sz w:val="22"/>
              </w:rPr>
              <w:t>Q2 “even stronger” than Q1; record ~$97B possible</w:t>
            </w:r>
          </w:p>
        </w:tc>
        <w:tc>
          <w:tcPr>
            <w:tcW w:type="dxa" w:w="1234"/>
          </w:tcPr>
          <w:p>
            <w:r>
              <w:rPr>
                <w:rFonts w:ascii="Calibri" w:hAnsi="Calibri"/>
                <w:sz w:val="22"/>
              </w:rPr>
              <w:t>Consensus may be conservative</w:t>
            </w:r>
          </w:p>
        </w:tc>
      </w:tr>
      <w:tr>
        <w:tc>
          <w:tcPr>
            <w:tcW w:type="dxa" w:w="1234"/>
          </w:tcPr>
          <w:p>
            <w:r>
              <w:rPr>
                <w:rFonts w:ascii="Calibri" w:hAnsi="Calibri"/>
                <w:sz w:val="22"/>
              </w:rPr>
              <w:t>Net Spread – RS (Operating)</w:t>
            </w:r>
          </w:p>
        </w:tc>
        <w:tc>
          <w:tcPr>
            <w:tcW w:type="dxa" w:w="1234"/>
          </w:tcPr>
          <w:p>
            <w:r>
              <w:rPr>
                <w:rFonts w:ascii="Calibri" w:hAnsi="Calibri"/>
                <w:sz w:val="22"/>
              </w:rPr>
              <w:t>97 bps (adj. ~122 bps)</w:t>
            </w:r>
          </w:p>
        </w:tc>
        <w:tc>
          <w:tcPr>
            <w:tcW w:type="dxa" w:w="1234"/>
          </w:tcPr>
          <w:p>
            <w:r>
              <w:rPr>
                <w:rFonts w:ascii="Calibri" w:hAnsi="Calibri"/>
                <w:sz w:val="22"/>
              </w:rPr>
              <w:t>N/A — not separately disclosed</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120–125 bps FY2026</w:t>
            </w:r>
          </w:p>
        </w:tc>
        <w:tc>
          <w:tcPr>
            <w:tcW w:type="dxa" w:w="1234"/>
          </w:tcPr>
          <w:p>
            <w:r>
              <w:rPr>
                <w:rFonts w:ascii="Calibri" w:hAnsi="Calibri"/>
                <w:sz w:val="22"/>
              </w:rPr>
              <w:t>Q1 adj. in range; Q2 alts ~9% vs. 11% target</w:t>
            </w:r>
          </w:p>
        </w:tc>
      </w:tr>
    </w:tbl>
    <w:p>
      <w:r>
        <w:rPr>
          <w:rFonts w:ascii="Calibri" w:hAnsi="Calibri"/>
          <w:i/>
          <w:color w:val="525866"/>
          <w:sz w:val="22"/>
        </w:rPr>
        <w:t>Sources: Visible Alpha Consensus and Actuals Data</w:t>
      </w:r>
      <w:r>
        <w:rPr>
          <w:rFonts w:ascii="Calibri" w:hAnsi="Calibri"/>
          <w:i/>
          <w:color w:val="525866"/>
          <w:sz w:val="22"/>
        </w:rPr>
        <w:t xml:space="preserve"> (FRE, SRE, Distributable EPS – Operating, End-of-Period AUM, Gross Capital Deployment); Apollo Q1 2026 Earnings Call (May 6, 2026); Apollo 8-K Pre-Announcement (July 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FRE Reported</w:t>
            </w:r>
          </w:p>
        </w:tc>
        <w:tc>
          <w:tcPr>
            <w:tcW w:type="dxa" w:w="1234"/>
            <w:shd w:val="clear" w:color="auto" w:fill="3B4259"/>
          </w:tcPr>
          <w:p>
            <w:r>
              <w:rPr>
                <w:rFonts w:ascii="Calibri" w:hAnsi="Calibri"/>
                <w:b/>
                <w:color w:val="FFFFFF"/>
                <w:sz w:val="22"/>
              </w:rPr>
              <w:t>FRE Consensus</w:t>
            </w:r>
          </w:p>
        </w:tc>
        <w:tc>
          <w:tcPr>
            <w:tcW w:type="dxa" w:w="1234"/>
            <w:shd w:val="clear" w:color="auto" w:fill="3B4259"/>
          </w:tcPr>
          <w:p>
            <w:r>
              <w:rPr>
                <w:rFonts w:ascii="Calibri" w:hAnsi="Calibri"/>
                <w:b/>
                <w:color w:val="FFFFFF"/>
                <w:sz w:val="22"/>
              </w:rPr>
              <w:t>FRE Surprise</w:t>
            </w:r>
          </w:p>
        </w:tc>
        <w:tc>
          <w:tcPr>
            <w:tcW w:type="dxa" w:w="1234"/>
            <w:shd w:val="clear" w:color="auto" w:fill="3B4259"/>
          </w:tcPr>
          <w:p>
            <w:r>
              <w:rPr>
                <w:rFonts w:ascii="Calibri" w:hAnsi="Calibri"/>
                <w:b/>
                <w:color w:val="FFFFFF"/>
                <w:sz w:val="22"/>
              </w:rPr>
              <w:t>SRE Reported</w:t>
            </w:r>
          </w:p>
        </w:tc>
        <w:tc>
          <w:tcPr>
            <w:tcW w:type="dxa" w:w="1234"/>
            <w:shd w:val="clear" w:color="auto" w:fill="3B4259"/>
          </w:tcPr>
          <w:p>
            <w:r>
              <w:rPr>
                <w:rFonts w:ascii="Calibri" w:hAnsi="Calibri"/>
                <w:b/>
                <w:color w:val="FFFFFF"/>
                <w:sz w:val="22"/>
              </w:rPr>
              <w:t>SRE Consensus</w:t>
            </w:r>
          </w:p>
        </w:tc>
        <w:tc>
          <w:tcPr>
            <w:tcW w:type="dxa" w:w="1234"/>
            <w:shd w:val="clear" w:color="auto" w:fill="3B4259"/>
          </w:tcPr>
          <w:p>
            <w:r>
              <w:rPr>
                <w:rFonts w:ascii="Calibri" w:hAnsi="Calibri"/>
                <w:b/>
                <w:color w:val="FFFFFF"/>
                <w:sz w:val="22"/>
              </w:rPr>
              <w:t>SRE Surprise</w:t>
            </w:r>
          </w:p>
        </w:tc>
      </w:tr>
      <w:tr>
        <w:tc>
          <w:tcPr>
            <w:tcW w:type="dxa" w:w="1234"/>
          </w:tcPr>
          <w:p>
            <w:r>
              <w:rPr>
                <w:rFonts w:ascii="Calibri" w:hAnsi="Calibri"/>
                <w:sz w:val="22"/>
              </w:rPr>
              <w:t>Q1 2026</w:t>
            </w:r>
          </w:p>
        </w:tc>
        <w:tc>
          <w:tcPr>
            <w:tcW w:type="dxa" w:w="1234"/>
          </w:tcPr>
          <w:p>
            <w:r>
              <w:rPr>
                <w:rFonts w:ascii="Calibri" w:hAnsi="Calibri"/>
                <w:sz w:val="22"/>
              </w:rPr>
              <w:t>$728M</w:t>
            </w:r>
          </w:p>
        </w:tc>
        <w:tc>
          <w:tcPr>
            <w:tcW w:type="dxa" w:w="1234"/>
          </w:tcPr>
          <w:p>
            <w:r>
              <w:rPr>
                <w:rFonts w:ascii="Calibri" w:hAnsi="Calibri"/>
                <w:sz w:val="22"/>
              </w:rPr>
              <w:t>$692M</w:t>
            </w:r>
          </w:p>
        </w:tc>
        <w:tc>
          <w:tcPr>
            <w:tcW w:type="dxa" w:w="1234"/>
          </w:tcPr>
          <w:p>
            <w:r>
              <w:rPr>
                <w:rFonts w:ascii="Calibri" w:hAnsi="Calibri"/>
                <w:b/>
                <w:color w:val="30A46C"/>
                <w:sz w:val="22"/>
              </w:rPr>
              <w:t>+5.2%</w:t>
            </w:r>
          </w:p>
        </w:tc>
        <w:tc>
          <w:tcPr>
            <w:tcW w:type="dxa" w:w="1234"/>
          </w:tcPr>
          <w:p>
            <w:r>
              <w:rPr>
                <w:rFonts w:ascii="Calibri" w:hAnsi="Calibri"/>
                <w:sz w:val="22"/>
              </w:rPr>
              <w:t>$719M</w:t>
            </w:r>
          </w:p>
        </w:tc>
        <w:tc>
          <w:tcPr>
            <w:tcW w:type="dxa" w:w="1234"/>
          </w:tcPr>
          <w:p>
            <w:r>
              <w:rPr>
                <w:rFonts w:ascii="Calibri" w:hAnsi="Calibri"/>
                <w:sz w:val="22"/>
              </w:rPr>
              <w:t>$735M</w:t>
            </w:r>
          </w:p>
        </w:tc>
        <w:tc>
          <w:tcPr>
            <w:tcW w:type="dxa" w:w="1234"/>
          </w:tcPr>
          <w:p>
            <w:r>
              <w:rPr>
                <w:rFonts w:ascii="Calibri" w:hAnsi="Calibri"/>
                <w:b/>
                <w:color w:val="E5484D"/>
                <w:sz w:val="22"/>
              </w:rPr>
              <w:t>-2.2%</w:t>
            </w:r>
          </w:p>
        </w:tc>
      </w:tr>
      <w:tr>
        <w:tc>
          <w:tcPr>
            <w:tcW w:type="dxa" w:w="1234"/>
          </w:tcPr>
          <w:p>
            <w:r>
              <w:rPr>
                <w:rFonts w:ascii="Calibri" w:hAnsi="Calibri"/>
                <w:sz w:val="22"/>
              </w:rPr>
              <w:t>Q4 2025</w:t>
            </w:r>
          </w:p>
        </w:tc>
        <w:tc>
          <w:tcPr>
            <w:tcW w:type="dxa" w:w="1234"/>
          </w:tcPr>
          <w:p>
            <w:r>
              <w:rPr>
                <w:rFonts w:ascii="Calibri" w:hAnsi="Calibri"/>
                <w:sz w:val="22"/>
              </w:rPr>
              <w:t>$690M</w:t>
            </w:r>
          </w:p>
        </w:tc>
        <w:tc>
          <w:tcPr>
            <w:tcW w:type="dxa" w:w="1234"/>
          </w:tcPr>
          <w:p>
            <w:r>
              <w:rPr>
                <w:rFonts w:ascii="Calibri" w:hAnsi="Calibri"/>
                <w:sz w:val="22"/>
              </w:rPr>
              <w:t>$673M</w:t>
            </w:r>
          </w:p>
        </w:tc>
        <w:tc>
          <w:tcPr>
            <w:tcW w:type="dxa" w:w="1234"/>
          </w:tcPr>
          <w:p>
            <w:r>
              <w:rPr>
                <w:rFonts w:ascii="Calibri" w:hAnsi="Calibri"/>
                <w:b/>
                <w:color w:val="30A46C"/>
                <w:sz w:val="22"/>
              </w:rPr>
              <w:t>+2.5%</w:t>
            </w:r>
          </w:p>
        </w:tc>
        <w:tc>
          <w:tcPr>
            <w:tcW w:type="dxa" w:w="1234"/>
          </w:tcPr>
          <w:p>
            <w:r>
              <w:rPr>
                <w:rFonts w:ascii="Calibri" w:hAnsi="Calibri"/>
                <w:sz w:val="22"/>
              </w:rPr>
              <w:t>$865M</w:t>
            </w:r>
          </w:p>
        </w:tc>
        <w:tc>
          <w:tcPr>
            <w:tcW w:type="dxa" w:w="1234"/>
          </w:tcPr>
          <w:p>
            <w:r>
              <w:rPr>
                <w:rFonts w:ascii="Calibri" w:hAnsi="Calibri"/>
                <w:sz w:val="22"/>
              </w:rPr>
              <w:t>$852M</w:t>
            </w:r>
          </w:p>
        </w:tc>
        <w:tc>
          <w:tcPr>
            <w:tcW w:type="dxa" w:w="1234"/>
          </w:tcPr>
          <w:p>
            <w:r>
              <w:rPr>
                <w:rFonts w:ascii="Calibri" w:hAnsi="Calibri"/>
                <w:b/>
                <w:color w:val="30A46C"/>
                <w:sz w:val="22"/>
              </w:rPr>
              <w:t>+1.5%</w:t>
            </w:r>
          </w:p>
        </w:tc>
      </w:tr>
      <w:tr>
        <w:tc>
          <w:tcPr>
            <w:tcW w:type="dxa" w:w="1234"/>
          </w:tcPr>
          <w:p>
            <w:r>
              <w:rPr>
                <w:rFonts w:ascii="Calibri" w:hAnsi="Calibri"/>
                <w:sz w:val="22"/>
              </w:rPr>
              <w:t>Q3 2025</w:t>
            </w:r>
          </w:p>
        </w:tc>
        <w:tc>
          <w:tcPr>
            <w:tcW w:type="dxa" w:w="1234"/>
          </w:tcPr>
          <w:p>
            <w:r>
              <w:rPr>
                <w:rFonts w:ascii="Calibri" w:hAnsi="Calibri"/>
                <w:sz w:val="22"/>
              </w:rPr>
              <w:t>$652M</w:t>
            </w:r>
          </w:p>
        </w:tc>
        <w:tc>
          <w:tcPr>
            <w:tcW w:type="dxa" w:w="1234"/>
          </w:tcPr>
          <w:p>
            <w:r>
              <w:rPr>
                <w:rFonts w:ascii="Calibri" w:hAnsi="Calibri"/>
                <w:sz w:val="22"/>
              </w:rPr>
              <w:t>$627M</w:t>
            </w:r>
          </w:p>
        </w:tc>
        <w:tc>
          <w:tcPr>
            <w:tcW w:type="dxa" w:w="1234"/>
          </w:tcPr>
          <w:p>
            <w:r>
              <w:rPr>
                <w:rFonts w:ascii="Calibri" w:hAnsi="Calibri"/>
                <w:b/>
                <w:color w:val="30A46C"/>
                <w:sz w:val="22"/>
              </w:rPr>
              <w:t>+4.0%</w:t>
            </w:r>
          </w:p>
        </w:tc>
        <w:tc>
          <w:tcPr>
            <w:tcW w:type="dxa" w:w="1234"/>
          </w:tcPr>
          <w:p>
            <w:r>
              <w:rPr>
                <w:rFonts w:ascii="Calibri" w:hAnsi="Calibri"/>
                <w:sz w:val="22"/>
              </w:rPr>
              <w:t>$871M</w:t>
            </w:r>
          </w:p>
        </w:tc>
        <w:tc>
          <w:tcPr>
            <w:tcW w:type="dxa" w:w="1234"/>
          </w:tcPr>
          <w:p>
            <w:r>
              <w:rPr>
                <w:rFonts w:ascii="Calibri" w:hAnsi="Calibri"/>
                <w:sz w:val="22"/>
              </w:rPr>
              <w:t>$826M</w:t>
            </w:r>
          </w:p>
        </w:tc>
        <w:tc>
          <w:tcPr>
            <w:tcW w:type="dxa" w:w="1234"/>
          </w:tcPr>
          <w:p>
            <w:r>
              <w:rPr>
                <w:rFonts w:ascii="Calibri" w:hAnsi="Calibri"/>
                <w:b/>
                <w:color w:val="30A46C"/>
                <w:sz w:val="22"/>
              </w:rPr>
              <w:t>+5.5%</w:t>
            </w:r>
          </w:p>
        </w:tc>
      </w:tr>
      <w:tr>
        <w:tc>
          <w:tcPr>
            <w:tcW w:type="dxa" w:w="1234"/>
          </w:tcPr>
          <w:p>
            <w:r>
              <w:rPr>
                <w:rFonts w:ascii="Calibri" w:hAnsi="Calibri"/>
                <w:sz w:val="22"/>
              </w:rPr>
              <w:t>Q2 2025</w:t>
            </w:r>
          </w:p>
        </w:tc>
        <w:tc>
          <w:tcPr>
            <w:tcW w:type="dxa" w:w="1234"/>
          </w:tcPr>
          <w:p>
            <w:r>
              <w:rPr>
                <w:rFonts w:ascii="Calibri" w:hAnsi="Calibri"/>
                <w:sz w:val="22"/>
              </w:rPr>
              <w:t>$627M</w:t>
            </w:r>
          </w:p>
        </w:tc>
        <w:tc>
          <w:tcPr>
            <w:tcW w:type="dxa" w:w="1234"/>
          </w:tcPr>
          <w:p>
            <w:r>
              <w:rPr>
                <w:rFonts w:ascii="Calibri" w:hAnsi="Calibri"/>
                <w:sz w:val="22"/>
              </w:rPr>
              <w:t>$578M</w:t>
            </w:r>
          </w:p>
        </w:tc>
        <w:tc>
          <w:tcPr>
            <w:tcW w:type="dxa" w:w="1234"/>
          </w:tcPr>
          <w:p>
            <w:r>
              <w:rPr>
                <w:rFonts w:ascii="Calibri" w:hAnsi="Calibri"/>
                <w:b/>
                <w:color w:val="30A46C"/>
                <w:sz w:val="22"/>
              </w:rPr>
              <w:t>+8.5%</w:t>
            </w:r>
          </w:p>
        </w:tc>
        <w:tc>
          <w:tcPr>
            <w:tcW w:type="dxa" w:w="1234"/>
          </w:tcPr>
          <w:p>
            <w:r>
              <w:rPr>
                <w:rFonts w:ascii="Calibri" w:hAnsi="Calibri"/>
                <w:sz w:val="22"/>
              </w:rPr>
              <w:t>$821M</w:t>
            </w:r>
          </w:p>
        </w:tc>
        <w:tc>
          <w:tcPr>
            <w:tcW w:type="dxa" w:w="1234"/>
          </w:tcPr>
          <w:p>
            <w:r>
              <w:rPr>
                <w:rFonts w:ascii="Calibri" w:hAnsi="Calibri"/>
                <w:sz w:val="22"/>
              </w:rPr>
              <w:t>$803M</w:t>
            </w:r>
          </w:p>
        </w:tc>
        <w:tc>
          <w:tcPr>
            <w:tcW w:type="dxa" w:w="1234"/>
          </w:tcPr>
          <w:p>
            <w:r>
              <w:rPr>
                <w:rFonts w:ascii="Calibri" w:hAnsi="Calibri"/>
                <w:b/>
                <w:color w:val="30A46C"/>
                <w:sz w:val="22"/>
              </w:rPr>
              <w:t>+2.2%</w:t>
            </w:r>
          </w:p>
        </w:tc>
      </w:tr>
      <w:tr>
        <w:tc>
          <w:tcPr>
            <w:tcW w:type="dxa" w:w="1234"/>
          </w:tcPr>
          <w:p>
            <w:r>
              <w:rPr>
                <w:rFonts w:ascii="Calibri" w:hAnsi="Calibri"/>
                <w:sz w:val="22"/>
              </w:rPr>
              <w:t>Q1 2025</w:t>
            </w:r>
          </w:p>
        </w:tc>
        <w:tc>
          <w:tcPr>
            <w:tcW w:type="dxa" w:w="1234"/>
          </w:tcPr>
          <w:p>
            <w:r>
              <w:rPr>
                <w:rFonts w:ascii="Calibri" w:hAnsi="Calibri"/>
                <w:sz w:val="22"/>
              </w:rPr>
              <w:t>$559M</w:t>
            </w:r>
          </w:p>
        </w:tc>
        <w:tc>
          <w:tcPr>
            <w:tcW w:type="dxa" w:w="1234"/>
          </w:tcPr>
          <w:p>
            <w:r>
              <w:rPr>
                <w:rFonts w:ascii="Calibri" w:hAnsi="Calibri"/>
                <w:sz w:val="22"/>
              </w:rPr>
              <w:t>$549M</w:t>
            </w:r>
          </w:p>
        </w:tc>
        <w:tc>
          <w:tcPr>
            <w:tcW w:type="dxa" w:w="1234"/>
          </w:tcPr>
          <w:p>
            <w:r>
              <w:rPr>
                <w:rFonts w:ascii="Calibri" w:hAnsi="Calibri"/>
                <w:b/>
                <w:color w:val="30A46C"/>
                <w:sz w:val="22"/>
              </w:rPr>
              <w:t>+1.8%</w:t>
            </w:r>
          </w:p>
        </w:tc>
        <w:tc>
          <w:tcPr>
            <w:tcW w:type="dxa" w:w="1234"/>
          </w:tcPr>
          <w:p>
            <w:r>
              <w:rPr>
                <w:rFonts w:ascii="Calibri" w:hAnsi="Calibri"/>
                <w:sz w:val="22"/>
              </w:rPr>
              <w:t>$804M</w:t>
            </w:r>
          </w:p>
        </w:tc>
        <w:tc>
          <w:tcPr>
            <w:tcW w:type="dxa" w:w="1234"/>
          </w:tcPr>
          <w:p>
            <w:r>
              <w:rPr>
                <w:rFonts w:ascii="Calibri" w:hAnsi="Calibri"/>
                <w:sz w:val="22"/>
              </w:rPr>
              <w:t>$825M</w:t>
            </w:r>
          </w:p>
        </w:tc>
        <w:tc>
          <w:tcPr>
            <w:tcW w:type="dxa" w:w="1234"/>
          </w:tcPr>
          <w:p>
            <w:r>
              <w:rPr>
                <w:rFonts w:ascii="Calibri" w:hAnsi="Calibri"/>
                <w:b/>
                <w:color w:val="E5484D"/>
                <w:sz w:val="22"/>
              </w:rPr>
              <w:t>-2.5%</w:t>
            </w:r>
          </w:p>
        </w:tc>
      </w:tr>
      <w:tr>
        <w:tc>
          <w:tcPr>
            <w:tcW w:type="dxa" w:w="1234"/>
          </w:tcPr>
          <w:p>
            <w:r>
              <w:rPr>
                <w:rFonts w:ascii="Calibri" w:hAnsi="Calibri"/>
                <w:sz w:val="22"/>
              </w:rPr>
              <w:t>Q4 2024</w:t>
            </w:r>
          </w:p>
        </w:tc>
        <w:tc>
          <w:tcPr>
            <w:tcW w:type="dxa" w:w="1234"/>
          </w:tcPr>
          <w:p>
            <w:r>
              <w:rPr>
                <w:rFonts w:ascii="Calibri" w:hAnsi="Calibri"/>
                <w:sz w:val="22"/>
              </w:rPr>
              <w:t>$554M</w:t>
            </w:r>
          </w:p>
        </w:tc>
        <w:tc>
          <w:tcPr>
            <w:tcW w:type="dxa" w:w="1234"/>
          </w:tcPr>
          <w:p>
            <w:r>
              <w:rPr>
                <w:rFonts w:ascii="Calibri" w:hAnsi="Calibri"/>
                <w:sz w:val="22"/>
              </w:rPr>
              <w:t>$550M</w:t>
            </w:r>
          </w:p>
        </w:tc>
        <w:tc>
          <w:tcPr>
            <w:tcW w:type="dxa" w:w="1234"/>
          </w:tcPr>
          <w:p>
            <w:r>
              <w:rPr>
                <w:rFonts w:ascii="Calibri" w:hAnsi="Calibri"/>
                <w:b/>
                <w:color w:val="30A46C"/>
                <w:sz w:val="22"/>
              </w:rPr>
              <w:t>+0.7%</w:t>
            </w:r>
          </w:p>
        </w:tc>
        <w:tc>
          <w:tcPr>
            <w:tcW w:type="dxa" w:w="1234"/>
          </w:tcPr>
          <w:p>
            <w:r>
              <w:rPr>
                <w:rFonts w:ascii="Calibri" w:hAnsi="Calibri"/>
                <w:sz w:val="22"/>
              </w:rPr>
              <w:t>$841M</w:t>
            </w:r>
          </w:p>
        </w:tc>
        <w:tc>
          <w:tcPr>
            <w:tcW w:type="dxa" w:w="1234"/>
          </w:tcPr>
          <w:p>
            <w:r>
              <w:rPr>
                <w:rFonts w:ascii="Calibri" w:hAnsi="Calibri"/>
                <w:sz w:val="22"/>
              </w:rPr>
              <w:t>$853M</w:t>
            </w:r>
          </w:p>
        </w:tc>
        <w:tc>
          <w:tcPr>
            <w:tcW w:type="dxa" w:w="1234"/>
          </w:tcPr>
          <w:p>
            <w:r>
              <w:rPr>
                <w:rFonts w:ascii="Calibri" w:hAnsi="Calibri"/>
                <w:b/>
                <w:color w:val="E5484D"/>
                <w:sz w:val="22"/>
              </w:rPr>
              <w:t>-1.4%</w:t>
            </w:r>
          </w:p>
        </w:tc>
      </w:tr>
      <w:tr>
        <w:tc>
          <w:tcPr>
            <w:tcW w:type="dxa" w:w="1234"/>
          </w:tcPr>
          <w:p>
            <w:r>
              <w:rPr>
                <w:rFonts w:ascii="Calibri" w:hAnsi="Calibri"/>
                <w:sz w:val="22"/>
              </w:rPr>
              <w:t>Q3 2024</w:t>
            </w:r>
          </w:p>
        </w:tc>
        <w:tc>
          <w:tcPr>
            <w:tcW w:type="dxa" w:w="1234"/>
          </w:tcPr>
          <w:p>
            <w:r>
              <w:rPr>
                <w:rFonts w:ascii="Calibri" w:hAnsi="Calibri"/>
                <w:sz w:val="22"/>
              </w:rPr>
              <w:t>$531M</w:t>
            </w:r>
          </w:p>
        </w:tc>
        <w:tc>
          <w:tcPr>
            <w:tcW w:type="dxa" w:w="1234"/>
          </w:tcPr>
          <w:p>
            <w:r>
              <w:rPr>
                <w:rFonts w:ascii="Calibri" w:hAnsi="Calibri"/>
                <w:sz w:val="22"/>
              </w:rPr>
              <w:t>$518M</w:t>
            </w:r>
          </w:p>
        </w:tc>
        <w:tc>
          <w:tcPr>
            <w:tcW w:type="dxa" w:w="1234"/>
          </w:tcPr>
          <w:p>
            <w:r>
              <w:rPr>
                <w:rFonts w:ascii="Calibri" w:hAnsi="Calibri"/>
                <w:b/>
                <w:color w:val="30A46C"/>
                <w:sz w:val="22"/>
              </w:rPr>
              <w:t>+2.5%</w:t>
            </w:r>
          </w:p>
        </w:tc>
        <w:tc>
          <w:tcPr>
            <w:tcW w:type="dxa" w:w="1234"/>
          </w:tcPr>
          <w:p>
            <w:r>
              <w:rPr>
                <w:rFonts w:ascii="Calibri" w:hAnsi="Calibri"/>
                <w:sz w:val="22"/>
              </w:rPr>
              <w:t>$856M</w:t>
            </w:r>
          </w:p>
        </w:tc>
        <w:tc>
          <w:tcPr>
            <w:tcW w:type="dxa" w:w="1234"/>
          </w:tcPr>
          <w:p>
            <w:r>
              <w:rPr>
                <w:rFonts w:ascii="Calibri" w:hAnsi="Calibri"/>
                <w:sz w:val="22"/>
              </w:rPr>
              <w:t>$769M</w:t>
            </w:r>
          </w:p>
        </w:tc>
        <w:tc>
          <w:tcPr>
            <w:tcW w:type="dxa" w:w="1234"/>
          </w:tcPr>
          <w:p>
            <w:r>
              <w:rPr>
                <w:rFonts w:ascii="Calibri" w:hAnsi="Calibri"/>
                <w:b/>
                <w:color w:val="30A46C"/>
                <w:sz w:val="22"/>
              </w:rPr>
              <w:t>+11.3%</w:t>
            </w:r>
          </w:p>
        </w:tc>
      </w:tr>
      <w:tr>
        <w:tc>
          <w:tcPr>
            <w:tcW w:type="dxa" w:w="1234"/>
          </w:tcPr>
          <w:p>
            <w:r>
              <w:rPr>
                <w:rFonts w:ascii="Calibri" w:hAnsi="Calibri"/>
                <w:sz w:val="22"/>
              </w:rPr>
              <w:t>Q2 2024</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Apollo has beaten FRE consensus in every reported quarter, with beats ranging from +0.7% to +8.5%, reflecting consistent management fee and ACS fee outperformance; SRE is more volatile, with misses in Q1 2026, Q1 2025, and Q4 2024 driven by alts portfolio underperformance and spread headwinds, while beats in Q3 2024 and Q3 2025 were driven by alts outperformance.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been </w:t>
      </w:r>
      <w:r>
        <w:rPr>
          <w:rFonts w:ascii="Calibri" w:hAnsi="Calibri"/>
          <w:b/>
          <w:color w:val="525866"/>
          <w:sz w:val="22"/>
        </w:rPr>
        <w:t>incrementally more confident since Q1</w:t>
      </w:r>
      <w:r>
        <w:rPr>
          <w:rFonts w:ascii="Calibri" w:hAnsi="Calibri"/>
          <w:color w:val="525866"/>
          <w:sz w:val="22"/>
        </w:rPr>
        <w:t xml:space="preserve"> — the July 1 pre-announcement of ~$350M Q2 alts income and Athene’s May 15 investor call confirming strong April/May retail flows both signal the business is tracking ahead of Q1’s depressed alts result, though the 11% full-year alts assumption remains a stretch; FRE guidance is unchanged and well-supported by the origination pipeline.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FRE Growth (FY2026)</w:t>
            </w:r>
          </w:p>
        </w:tc>
        <w:tc>
          <w:tcPr>
            <w:tcW w:type="dxa" w:w="1728"/>
          </w:tcPr>
          <w:p>
            <w:r>
              <w:rPr>
                <w:rFonts w:ascii="Calibri" w:hAnsi="Calibri"/>
                <w:sz w:val="22"/>
              </w:rPr>
              <w:t>20%+ year-over-year</w:t>
            </w:r>
          </w:p>
        </w:tc>
        <w:tc>
          <w:tcPr>
            <w:tcW w:type="dxa" w:w="1728"/>
          </w:tcPr>
          <w:p>
            <w:r>
              <w:rPr>
                <w:rFonts w:ascii="Calibri" w:hAnsi="Calibri"/>
                <w:sz w:val="22"/>
              </w:rPr>
              <w:t>—</w:t>
            </w:r>
          </w:p>
        </w:tc>
        <w:tc>
          <w:tcPr>
            <w:tcW w:type="dxa" w:w="1728"/>
          </w:tcPr>
          <w:p>
            <w:r>
              <w:rPr>
                <w:rFonts w:ascii="Calibri" w:hAnsi="Calibri"/>
                <w:sz w:val="22"/>
              </w:rPr>
              <w:t>$3.11B (+20% YoY)</w:t>
            </w:r>
          </w:p>
        </w:tc>
        <w:tc>
          <w:tcPr>
            <w:tcW w:type="dxa" w:w="1728"/>
          </w:tcPr>
          <w:p>
            <w:r>
              <w:rPr>
                <w:rFonts w:ascii="Calibri" w:hAnsi="Calibri"/>
                <w:sz w:val="22"/>
              </w:rPr>
              <w:t>Unchanged; management expressed confidence in strong inflows and robust origination pipeline</w:t>
            </w:r>
          </w:p>
        </w:tc>
      </w:tr>
      <w:tr>
        <w:tc>
          <w:tcPr>
            <w:tcW w:type="dxa" w:w="1728"/>
          </w:tcPr>
          <w:p>
            <w:r>
              <w:rPr>
                <w:rFonts w:ascii="Calibri" w:hAnsi="Calibri"/>
                <w:sz w:val="22"/>
              </w:rPr>
              <w:t>SRE Growth (FY2026)</w:t>
            </w:r>
          </w:p>
        </w:tc>
        <w:tc>
          <w:tcPr>
            <w:tcW w:type="dxa" w:w="1728"/>
          </w:tcPr>
          <w:p>
            <w:r>
              <w:rPr>
                <w:rFonts w:ascii="Calibri" w:hAnsi="Calibri"/>
                <w:sz w:val="22"/>
              </w:rPr>
              <w:t>10% growth, assuming 11% alts return</w:t>
            </w:r>
          </w:p>
        </w:tc>
        <w:tc>
          <w:tcPr>
            <w:tcW w:type="dxa" w:w="1728"/>
          </w:tcPr>
          <w:p>
            <w:r>
              <w:rPr>
                <w:rFonts w:ascii="Calibri" w:hAnsi="Calibri"/>
                <w:sz w:val="22"/>
              </w:rPr>
              <w:t>—</w:t>
            </w:r>
          </w:p>
        </w:tc>
        <w:tc>
          <w:tcPr>
            <w:tcW w:type="dxa" w:w="1728"/>
          </w:tcPr>
          <w:p>
            <w:r>
              <w:rPr>
                <w:rFonts w:ascii="Calibri" w:hAnsi="Calibri"/>
                <w:sz w:val="22"/>
              </w:rPr>
              <w:t>$3.48B</w:t>
            </w:r>
          </w:p>
        </w:tc>
        <w:tc>
          <w:tcPr>
            <w:tcW w:type="dxa" w:w="1728"/>
          </w:tcPr>
          <w:p>
            <w:r>
              <w:rPr>
                <w:rFonts w:ascii="Calibri" w:hAnsi="Calibri"/>
                <w:sz w:val="22"/>
              </w:rPr>
              <w:t>Unchanged; Q2 alts pre-announced at ~9% annualized (July 1 8-K) — below 11% target but better than Q1’s 6%; tone improving</w:t>
            </w:r>
          </w:p>
        </w:tc>
      </w:tr>
      <w:tr>
        <w:tc>
          <w:tcPr>
            <w:tcW w:type="dxa" w:w="1728"/>
          </w:tcPr>
          <w:p>
            <w:r>
              <w:rPr>
                <w:rFonts w:ascii="Calibri" w:hAnsi="Calibri"/>
                <w:sz w:val="22"/>
              </w:rPr>
              <w:t>Net Spread – RS (FY2026)</w:t>
            </w:r>
          </w:p>
        </w:tc>
        <w:tc>
          <w:tcPr>
            <w:tcW w:type="dxa" w:w="1728"/>
          </w:tcPr>
          <w:p>
            <w:r>
              <w:rPr>
                <w:rFonts w:ascii="Calibri" w:hAnsi="Calibri"/>
                <w:sz w:val="22"/>
              </w:rPr>
              <w:t>120–125 bps (assuming 11% alts return)</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Q1 adjusted spread was ~122 bps (in range); Q2 alts at 9% implies spread will be below 120 bps reported but management likely to adjust for alts shortfall</w:t>
            </w:r>
          </w:p>
        </w:tc>
      </w:tr>
      <w:tr>
        <w:tc>
          <w:tcPr>
            <w:tcW w:type="dxa" w:w="1728"/>
          </w:tcPr>
          <w:p>
            <w:r>
              <w:rPr>
                <w:rFonts w:ascii="Calibri" w:hAnsi="Calibri"/>
                <w:sz w:val="22"/>
              </w:rPr>
              <w:t>Q2 Origination</w:t>
            </w:r>
          </w:p>
        </w:tc>
        <w:tc>
          <w:tcPr>
            <w:tcW w:type="dxa" w:w="1728"/>
          </w:tcPr>
          <w:p>
            <w:r>
              <w:rPr>
                <w:rFonts w:ascii="Calibri" w:hAnsi="Calibri"/>
                <w:sz w:val="22"/>
              </w:rPr>
              <w:t>“Even stronger” than Q1 ($103B); record $97B possible</w:t>
            </w:r>
          </w:p>
        </w:tc>
        <w:tc>
          <w:tcPr>
            <w:tcW w:type="dxa" w:w="1728"/>
          </w:tcPr>
          <w:p>
            <w:r>
              <w:rPr>
                <w:rFonts w:ascii="Calibri" w:hAnsi="Calibri"/>
                <w:sz w:val="22"/>
              </w:rPr>
              <w:t>—</w:t>
            </w:r>
          </w:p>
        </w:tc>
        <w:tc>
          <w:tcPr>
            <w:tcW w:type="dxa" w:w="1728"/>
          </w:tcPr>
          <w:p>
            <w:r>
              <w:rPr>
                <w:rFonts w:ascii="Calibri" w:hAnsi="Calibri"/>
                <w:sz w:val="22"/>
              </w:rPr>
              <w:t>~$97B consensus</w:t>
            </w:r>
          </w:p>
        </w:tc>
        <w:tc>
          <w:tcPr>
            <w:tcW w:type="dxa" w:w="1728"/>
          </w:tcPr>
          <w:p>
            <w:r>
              <w:rPr>
                <w:rFonts w:ascii="Calibri" w:hAnsi="Calibri"/>
                <w:sz w:val="22"/>
              </w:rPr>
              <w:t>Unchanged; Athene May 15 call confirmed strong April/May retail and flow reinsurance; HECS pipeline described as deepest in firm history</w:t>
            </w:r>
          </w:p>
        </w:tc>
      </w:tr>
      <w:tr>
        <w:tc>
          <w:tcPr>
            <w:tcW w:type="dxa" w:w="1728"/>
          </w:tcPr>
          <w:p>
            <w:r>
              <w:rPr>
                <w:rFonts w:ascii="Calibri" w:hAnsi="Calibri"/>
                <w:sz w:val="22"/>
              </w:rPr>
              <w:t>Q2 Alts Net Investment Income</w:t>
            </w:r>
          </w:p>
        </w:tc>
        <w:tc>
          <w:tcPr>
            <w:tcW w:type="dxa" w:w="1728"/>
          </w:tcPr>
          <w:p>
            <w:r>
              <w:rPr>
                <w:rFonts w:ascii="Calibri" w:hAnsi="Calibri"/>
                <w:sz w:val="22"/>
              </w:rPr>
              <w:t>11% annualized return assumed for FY2026</w:t>
            </w:r>
          </w:p>
        </w:tc>
        <w:tc>
          <w:tcPr>
            <w:tcW w:type="dxa" w:w="1728"/>
          </w:tcPr>
          <w:p>
            <w:r>
              <w:rPr>
                <w:rFonts w:ascii="Calibri" w:hAnsi="Calibri"/>
                <w:sz w:val="22"/>
              </w:rPr>
              <w:t>~$350M pre-tax (~9% annualized) — July 1, 2026 8-K</w:t>
            </w:r>
          </w:p>
        </w:tc>
        <w:tc>
          <w:tcPr>
            <w:tcW w:type="dxa" w:w="1728"/>
          </w:tcPr>
          <w:p>
            <w:r>
              <w:rPr>
                <w:rFonts w:ascii="Calibri" w:hAnsi="Calibri"/>
                <w:sz w:val="22"/>
              </w:rPr>
              <w:t>~$874M SRE (incorporates alts pre-announcement)</w:t>
            </w:r>
          </w:p>
        </w:tc>
        <w:tc>
          <w:tcPr>
            <w:tcW w:type="dxa" w:w="1728"/>
          </w:tcPr>
          <w:p>
            <w:r>
              <w:rPr>
                <w:rFonts w:ascii="Calibri" w:hAnsi="Calibri"/>
                <w:sz w:val="22"/>
              </w:rPr>
              <w:t>↑ Positive update vs. Q1’s 6%; pooled vehicle returned ~10%, other alts ~6%; below 11% FY target but improving trajectory</w:t>
            </w:r>
          </w:p>
        </w:tc>
      </w:tr>
      <w:tr>
        <w:tc>
          <w:tcPr>
            <w:tcW w:type="dxa" w:w="1728"/>
          </w:tcPr>
          <w:p>
            <w:r>
              <w:rPr>
                <w:rFonts w:ascii="Calibri" w:hAnsi="Calibri"/>
                <w:sz w:val="22"/>
              </w:rPr>
              <w:t>Athene New Markets (FY2026)</w:t>
            </w:r>
          </w:p>
        </w:tc>
        <w:tc>
          <w:tcPr>
            <w:tcW w:type="dxa" w:w="1728"/>
          </w:tcPr>
          <w:p>
            <w:r>
              <w:rPr>
                <w:rFonts w:ascii="Calibri" w:hAnsi="Calibri"/>
                <w:sz w:val="22"/>
              </w:rPr>
              <w:t>&gt;$5B for the year; ultimately ~50% of new business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exceeded $1B for first time; May 15 call confirmed strong April/May retail ($3.7B in April alone) and flow reinsurance momentum</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 since the Q1 print</w:t>
      </w:r>
      <w:r>
        <w:rPr>
          <w:rFonts w:ascii="Calibri" w:hAnsi="Calibri"/>
          <w:color w:val="525866"/>
          <w:sz w:val="22"/>
        </w:rPr>
        <w:t xml:space="preserve"> — Q2 FRE consensus is down ~$3M and SRE down ~$41M from the post-earnings baseline — suggesting the Street absorbed the alts headwind but has not yet priced in the origination upside; the gap between SRE consensus and guidance implies </w:t>
      </w:r>
      <w:r>
        <w:rPr>
          <w:rFonts w:ascii="Calibri" w:hAnsi="Calibri"/>
          <w:b/>
          <w:color w:val="525866"/>
          <w:sz w:val="22"/>
        </w:rPr>
        <w:t>SRE is the risk, not the cushion</w:t>
      </w:r>
      <w:r>
        <w:rPr>
          <w:rFonts w:ascii="Calibri" w:hAnsi="Calibri"/>
          <w:color w:val="525866"/>
          <w:sz w:val="22"/>
        </w:rPr>
        <w:t>, while FRE estimates are tracking guidance well.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FRE (Q2 2026)</w:t>
            </w:r>
          </w:p>
        </w:tc>
        <w:tc>
          <w:tcPr>
            <w:tcW w:type="dxa" w:w="1080"/>
          </w:tcPr>
          <w:p>
            <w:r>
              <w:rPr>
                <w:rFonts w:ascii="Calibri" w:hAnsi="Calibri"/>
                <w:sz w:val="22"/>
              </w:rPr>
              <w:t>$769M</w:t>
            </w:r>
          </w:p>
        </w:tc>
        <w:tc>
          <w:tcPr>
            <w:tcW w:type="dxa" w:w="1080"/>
          </w:tcPr>
          <w:p>
            <w:r>
              <w:rPr>
                <w:rFonts w:ascii="Calibri" w:hAnsi="Calibri"/>
                <w:sz w:val="22"/>
              </w:rPr>
              <w:t>$767M</w:t>
            </w:r>
          </w:p>
        </w:tc>
        <w:tc>
          <w:tcPr>
            <w:tcW w:type="dxa" w:w="1080"/>
          </w:tcPr>
          <w:p>
            <w:r>
              <w:rPr>
                <w:rFonts w:ascii="Calibri" w:hAnsi="Calibri"/>
                <w:b/>
                <w:color w:val="E5484D"/>
                <w:sz w:val="22"/>
              </w:rPr>
              <w:t>-0.3%</w:t>
            </w:r>
          </w:p>
        </w:tc>
        <w:tc>
          <w:tcPr>
            <w:tcW w:type="dxa" w:w="1080"/>
          </w:tcPr>
          <w:p>
            <w:r>
              <w:rPr>
                <w:rFonts w:ascii="Calibri" w:hAnsi="Calibri"/>
                <w:sz w:val="22"/>
              </w:rPr>
              <w:t>20%+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target</w:t>
            </w:r>
          </w:p>
        </w:tc>
      </w:tr>
      <w:tr>
        <w:tc>
          <w:tcPr>
            <w:tcW w:type="dxa" w:w="1080"/>
          </w:tcPr>
          <w:p>
            <w:r>
              <w:rPr>
                <w:rFonts w:ascii="Calibri" w:hAnsi="Calibri"/>
                <w:sz w:val="22"/>
              </w:rPr>
              <w:t>FRE (FY2026)</w:t>
            </w:r>
          </w:p>
        </w:tc>
        <w:tc>
          <w:tcPr>
            <w:tcW w:type="dxa" w:w="1080"/>
          </w:tcPr>
          <w:p>
            <w:r>
              <w:rPr>
                <w:rFonts w:ascii="Calibri" w:hAnsi="Calibri"/>
                <w:sz w:val="22"/>
              </w:rPr>
              <w:t>$3,114M</w:t>
            </w:r>
          </w:p>
        </w:tc>
        <w:tc>
          <w:tcPr>
            <w:tcW w:type="dxa" w:w="1080"/>
          </w:tcPr>
          <w:p>
            <w:r>
              <w:rPr>
                <w:rFonts w:ascii="Calibri" w:hAnsi="Calibri"/>
                <w:sz w:val="22"/>
              </w:rPr>
              <w:t>$3,109M</w:t>
            </w:r>
          </w:p>
        </w:tc>
        <w:tc>
          <w:tcPr>
            <w:tcW w:type="dxa" w:w="1080"/>
          </w:tcPr>
          <w:p>
            <w:r>
              <w:rPr>
                <w:rFonts w:ascii="Calibri" w:hAnsi="Calibri"/>
                <w:b/>
                <w:color w:val="E5484D"/>
                <w:sz w:val="22"/>
              </w:rPr>
              <w:t>-0.2%</w:t>
            </w:r>
          </w:p>
        </w:tc>
        <w:tc>
          <w:tcPr>
            <w:tcW w:type="dxa" w:w="1080"/>
          </w:tcPr>
          <w:p>
            <w:r>
              <w:rPr>
                <w:rFonts w:ascii="Calibri" w:hAnsi="Calibri"/>
                <w:sz w:val="22"/>
              </w:rPr>
              <w:t>20%+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SRE (Q2 2026)</w:t>
            </w:r>
          </w:p>
        </w:tc>
        <w:tc>
          <w:tcPr>
            <w:tcW w:type="dxa" w:w="1080"/>
          </w:tcPr>
          <w:p>
            <w:r>
              <w:rPr>
                <w:rFonts w:ascii="Calibri" w:hAnsi="Calibri"/>
                <w:sz w:val="22"/>
              </w:rPr>
              <w:t>$915M</w:t>
            </w:r>
          </w:p>
        </w:tc>
        <w:tc>
          <w:tcPr>
            <w:tcW w:type="dxa" w:w="1080"/>
          </w:tcPr>
          <w:p>
            <w:r>
              <w:rPr>
                <w:rFonts w:ascii="Calibri" w:hAnsi="Calibri"/>
                <w:sz w:val="22"/>
              </w:rPr>
              <w:t>$874M</w:t>
            </w:r>
          </w:p>
        </w:tc>
        <w:tc>
          <w:tcPr>
            <w:tcW w:type="dxa" w:w="1080"/>
          </w:tcPr>
          <w:p>
            <w:r>
              <w:rPr>
                <w:rFonts w:ascii="Calibri" w:hAnsi="Calibri"/>
                <w:b/>
                <w:color w:val="E5484D"/>
                <w:sz w:val="22"/>
              </w:rPr>
              <w:t>-4.5%</w:t>
            </w:r>
          </w:p>
        </w:tc>
        <w:tc>
          <w:tcPr>
            <w:tcW w:type="dxa" w:w="1080"/>
          </w:tcPr>
          <w:p>
            <w:r>
              <w:rPr>
                <w:rFonts w:ascii="Calibri" w:hAnsi="Calibri"/>
                <w:sz w:val="22"/>
              </w:rPr>
              <w:t>10% FY growth (11% alts)</w:t>
            </w:r>
          </w:p>
        </w:tc>
        <w:tc>
          <w:tcPr>
            <w:tcW w:type="dxa" w:w="1080"/>
          </w:tcPr>
          <w:p>
            <w:r>
              <w:rPr>
                <w:rFonts w:ascii="Calibri" w:hAnsi="Calibri"/>
                <w:sz w:val="22"/>
              </w:rPr>
              <w:t>Q2 alts pre-announced ~9% (July 1 8-K)</w:t>
            </w:r>
          </w:p>
        </w:tc>
        <w:tc>
          <w:tcPr>
            <w:tcW w:type="dxa" w:w="1080"/>
          </w:tcPr>
          <w:p>
            <w:r>
              <w:rPr>
                <w:rFonts w:ascii="Calibri" w:hAnsi="Calibri"/>
                <w:sz w:val="22"/>
              </w:rPr>
              <w:t>Alts below target</w:t>
            </w:r>
          </w:p>
        </w:tc>
        <w:tc>
          <w:tcPr>
            <w:tcW w:type="dxa" w:w="1080"/>
          </w:tcPr>
          <w:p>
            <w:r>
              <w:rPr>
                <w:rFonts w:ascii="Calibri" w:hAnsi="Calibri"/>
                <w:sz w:val="22"/>
              </w:rPr>
              <w:t>~3% below implied quarterly run-rate</w:t>
            </w:r>
          </w:p>
        </w:tc>
      </w:tr>
      <w:tr>
        <w:tc>
          <w:tcPr>
            <w:tcW w:type="dxa" w:w="1080"/>
          </w:tcPr>
          <w:p>
            <w:r>
              <w:rPr>
                <w:rFonts w:ascii="Calibri" w:hAnsi="Calibri"/>
                <w:sz w:val="22"/>
              </w:rPr>
              <w:t>SRE (FY2026)</w:t>
            </w:r>
          </w:p>
        </w:tc>
        <w:tc>
          <w:tcPr>
            <w:tcW w:type="dxa" w:w="1080"/>
          </w:tcPr>
          <w:p>
            <w:r>
              <w:rPr>
                <w:rFonts w:ascii="Calibri" w:hAnsi="Calibri"/>
                <w:sz w:val="22"/>
              </w:rPr>
              <w:t>$3,569M</w:t>
            </w:r>
          </w:p>
        </w:tc>
        <w:tc>
          <w:tcPr>
            <w:tcW w:type="dxa" w:w="1080"/>
          </w:tcPr>
          <w:p>
            <w:r>
              <w:rPr>
                <w:rFonts w:ascii="Calibri" w:hAnsi="Calibri"/>
                <w:sz w:val="22"/>
              </w:rPr>
              <w:t>$3,483M</w:t>
            </w:r>
          </w:p>
        </w:tc>
        <w:tc>
          <w:tcPr>
            <w:tcW w:type="dxa" w:w="1080"/>
          </w:tcPr>
          <w:p>
            <w:r>
              <w:rPr>
                <w:rFonts w:ascii="Calibri" w:hAnsi="Calibri"/>
                <w:b/>
                <w:color w:val="E5484D"/>
                <w:sz w:val="22"/>
              </w:rPr>
              <w:t>-2.4%</w:t>
            </w:r>
          </w:p>
        </w:tc>
        <w:tc>
          <w:tcPr>
            <w:tcW w:type="dxa" w:w="1080"/>
          </w:tcPr>
          <w:p>
            <w:r>
              <w:rPr>
                <w:rFonts w:ascii="Calibri" w:hAnsi="Calibri"/>
                <w:sz w:val="22"/>
              </w:rPr>
              <w:t>10%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below guidance midpoint</w:t>
            </w:r>
          </w:p>
        </w:tc>
      </w:tr>
      <w:tr>
        <w:tc>
          <w:tcPr>
            <w:tcW w:type="dxa" w:w="1080"/>
          </w:tcPr>
          <w:p>
            <w:r>
              <w:rPr>
                <w:rFonts w:ascii="Calibri" w:hAnsi="Calibri"/>
                <w:sz w:val="22"/>
              </w:rPr>
              <w:t>Distributable EPS – Operating (Q2 2026)</w:t>
            </w:r>
          </w:p>
        </w:tc>
        <w:tc>
          <w:tcPr>
            <w:tcW w:type="dxa" w:w="1080"/>
          </w:tcPr>
          <w:p>
            <w:r>
              <w:rPr>
                <w:rFonts w:ascii="Calibri" w:hAnsi="Calibri"/>
                <w:sz w:val="22"/>
              </w:rPr>
              <w:t>$2.21</w:t>
            </w:r>
          </w:p>
        </w:tc>
        <w:tc>
          <w:tcPr>
            <w:tcW w:type="dxa" w:w="1080"/>
          </w:tcPr>
          <w:p>
            <w:r>
              <w:rPr>
                <w:rFonts w:ascii="Calibri" w:hAnsi="Calibri"/>
                <w:sz w:val="22"/>
              </w:rPr>
              <w:t>$2.16</w:t>
            </w:r>
          </w:p>
        </w:tc>
        <w:tc>
          <w:tcPr>
            <w:tcW w:type="dxa" w:w="1080"/>
          </w:tcPr>
          <w:p>
            <w:r>
              <w:rPr>
                <w:rFonts w:ascii="Calibri" w:hAnsi="Calibri"/>
                <w:b/>
                <w:color w:val="E5484D"/>
                <w:sz w:val="22"/>
              </w:rPr>
              <w:t>-2.3%</w:t>
            </w:r>
          </w:p>
        </w:tc>
        <w:tc>
          <w:tcPr>
            <w:tcW w:type="dxa" w:w="1080"/>
          </w:tcPr>
          <w:p>
            <w:r>
              <w:rPr>
                <w:rFonts w:ascii="Calibri" w:hAnsi="Calibri"/>
                <w:sz w:val="22"/>
              </w:rPr>
              <w:t>~$8.84 FY consensus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Distributable EPS – Operating (FY2026)</w:t>
            </w:r>
          </w:p>
        </w:tc>
        <w:tc>
          <w:tcPr>
            <w:tcW w:type="dxa" w:w="1080"/>
          </w:tcPr>
          <w:p>
            <w:r>
              <w:rPr>
                <w:rFonts w:ascii="Calibri" w:hAnsi="Calibri"/>
                <w:sz w:val="22"/>
              </w:rPr>
              <w:t>$9.02</w:t>
            </w:r>
          </w:p>
        </w:tc>
        <w:tc>
          <w:tcPr>
            <w:tcW w:type="dxa" w:w="1080"/>
          </w:tcPr>
          <w:p>
            <w:r>
              <w:rPr>
                <w:rFonts w:ascii="Calibri" w:hAnsi="Calibri"/>
                <w:sz w:val="22"/>
              </w:rPr>
              <w:t>$8.84</w:t>
            </w:r>
          </w:p>
        </w:tc>
        <w:tc>
          <w:tcPr>
            <w:tcW w:type="dxa" w:w="1080"/>
          </w:tcPr>
          <w:p>
            <w:r>
              <w:rPr>
                <w:rFonts w:ascii="Calibri" w:hAnsi="Calibri"/>
                <w:b/>
                <w:color w:val="E5484D"/>
                <w:sz w:val="22"/>
              </w:rPr>
              <w:t>-2.0%</w:t>
            </w:r>
          </w:p>
        </w:tc>
        <w:tc>
          <w:tcPr>
            <w:tcW w:type="dxa" w:w="1080"/>
          </w:tcPr>
          <w:p>
            <w:r>
              <w:rPr>
                <w:rFonts w:ascii="Calibri" w:hAnsi="Calibri"/>
                <w:sz w:val="22"/>
              </w:rPr>
              <w:t>N/A (no explicit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revision is the ~$41M (4.5%) downward move in Q2 SRE consensus since the Q1 print, driven by the Street incorporating the July 1 pre-announcement of ~9% alts return vs. the 11% full-year assumption. FRE estimates have been remarkably stable (−0.3%), consistent with management’s unchanged 20%+ growth guidance and the strong origination pipeline commentary. The SRE gap represents a risk rather than a cushion heading into the print.</w:t>
      </w:r>
    </w:p>
    <w:p>
      <w:r>
        <w:rPr>
          <w:rFonts w:ascii="Calibri" w:hAnsi="Calibri"/>
          <w:i/>
          <w:color w:val="525866"/>
          <w:sz w:val="22"/>
        </w:rPr>
        <w:t>Source: Visible Alpha Consensus and Actuals Data (revision history table, weekly frequency, May 8 – August 3, 2026); Apollo 8-K (July 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APO has </w:t>
      </w:r>
      <w:r>
        <w:rPr>
          <w:rFonts w:ascii="Calibri" w:hAnsi="Calibri"/>
          <w:b/>
          <w:color w:val="E5484D"/>
          <w:sz w:val="22"/>
        </w:rPr>
        <w:t>significantly underperformed</w:t>
      </w:r>
      <w:r>
        <w:rPr>
          <w:rFonts w:ascii="Calibri" w:hAnsi="Calibri"/>
          <w:color w:val="525866"/>
          <w:sz w:val="22"/>
        </w:rPr>
        <w:t xml:space="preserve"> since the Q1 earnings date — down ~9% vs. SPY roughly flat and KKR down ~6% — driven almost entirely by </w:t>
      </w:r>
      <w:r>
        <w:rPr>
          <w:rFonts w:ascii="Calibri" w:hAnsi="Calibri"/>
          <w:b/>
          <w:color w:val="525866"/>
          <w:sz w:val="22"/>
        </w:rPr>
        <w:t>multiple compression</w:t>
      </w:r>
      <w:r>
        <w:rPr>
          <w:rFonts w:ascii="Calibri" w:hAnsi="Calibri"/>
          <w:color w:val="525866"/>
          <w:sz w:val="22"/>
        </w:rPr>
        <w:t xml:space="preserve"> (NTM P/E contracted from ~16.9x to ~12.7x over the past 12 months) rather than estimate cuts, as private credit sentiment headwinds and BDC redemption concerns weighed on the sector; the stock’s underperformance vs. SPY is a sentiment discount, not a fundamental one, and a clean Q2 print could catalyze a re-rating.</w:t>
      </w:r>
    </w:p>
    <w:p>
      <w:pPr>
        <w:pStyle w:val="Heading3"/>
      </w:pPr>
      <w:r>
        <w:rPr>
          <w:rFonts w:ascii="Calibri" w:hAnsi="Calibri"/>
          <w:b/>
          <w:color w:val="3B4259"/>
          <w:sz w:val="24"/>
        </w:rPr>
        <w:t>APO vs. KKR vs. KIE vs. SPY — Indexed Performance Since Q1 2026 Earnings (May 6, 2026)</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Ticker</w:t>
            </w:r>
          </w:p>
        </w:tc>
        <w:tc>
          <w:tcPr>
            <w:tcW w:type="dxa" w:w="1440"/>
            <w:shd w:val="clear" w:color="auto" w:fill="3B4259"/>
          </w:tcPr>
          <w:p>
            <w:r>
              <w:rPr>
                <w:rFonts w:ascii="Calibri" w:hAnsi="Calibri"/>
                <w:b/>
                <w:color w:val="FFFFFF"/>
                <w:sz w:val="22"/>
              </w:rPr>
              <w:t>May 6, 2026 Close</w:t>
            </w:r>
          </w:p>
        </w:tc>
        <w:tc>
          <w:tcPr>
            <w:tcW w:type="dxa" w:w="1440"/>
            <w:shd w:val="clear" w:color="auto" w:fill="3B4259"/>
          </w:tcPr>
          <w:p>
            <w:r>
              <w:rPr>
                <w:rFonts w:ascii="Calibri" w:hAnsi="Calibri"/>
                <w:b/>
                <w:color w:val="FFFFFF"/>
                <w:sz w:val="22"/>
              </w:rPr>
              <w:t>Aug 3, 2026 Close*</w:t>
            </w:r>
          </w:p>
        </w:tc>
        <w:tc>
          <w:tcPr>
            <w:tcW w:type="dxa" w:w="1440"/>
            <w:shd w:val="clear" w:color="auto" w:fill="3B4259"/>
          </w:tcPr>
          <w:p>
            <w:r>
              <w:rPr>
                <w:rFonts w:ascii="Calibri" w:hAnsi="Calibri"/>
                <w:b/>
                <w:color w:val="FFFFFF"/>
                <w:sz w:val="22"/>
              </w:rPr>
              <w:t>Return Since Q1 Earnings</w:t>
            </w:r>
          </w:p>
        </w:tc>
        <w:tc>
          <w:tcPr>
            <w:tcW w:type="dxa" w:w="1440"/>
            <w:shd w:val="clear" w:color="auto" w:fill="3B4259"/>
          </w:tcPr>
          <w:p>
            <w:r>
              <w:rPr>
                <w:rFonts w:ascii="Calibri" w:hAnsi="Calibri"/>
                <w:b/>
                <w:color w:val="FFFFFF"/>
                <w:sz w:val="22"/>
              </w:rPr>
              <w:t>Peak (Period)</w:t>
            </w:r>
          </w:p>
        </w:tc>
        <w:tc>
          <w:tcPr>
            <w:tcW w:type="dxa" w:w="1440"/>
            <w:shd w:val="clear" w:color="auto" w:fill="3B4259"/>
          </w:tcPr>
          <w:p>
            <w:r>
              <w:rPr>
                <w:rFonts w:ascii="Calibri" w:hAnsi="Calibri"/>
                <w:b/>
                <w:color w:val="FFFFFF"/>
                <w:sz w:val="22"/>
              </w:rPr>
              <w:t>Trough (Period)</w:t>
            </w:r>
          </w:p>
        </w:tc>
      </w:tr>
      <w:tr>
        <w:tc>
          <w:tcPr>
            <w:tcW w:type="dxa" w:w="1440"/>
          </w:tcPr>
          <w:p>
            <w:r>
              <w:rPr>
                <w:rFonts w:ascii="Calibri" w:hAnsi="Calibri"/>
                <w:sz w:val="22"/>
              </w:rPr>
              <w:t>APO</w:t>
            </w:r>
          </w:p>
        </w:tc>
        <w:tc>
          <w:tcPr>
            <w:tcW w:type="dxa" w:w="1440"/>
          </w:tcPr>
          <w:p>
            <w:r>
              <w:rPr>
                <w:rFonts w:ascii="Calibri" w:hAnsi="Calibri"/>
                <w:sz w:val="22"/>
              </w:rPr>
              <w:t>$129.53</w:t>
            </w:r>
          </w:p>
        </w:tc>
        <w:tc>
          <w:tcPr>
            <w:tcW w:type="dxa" w:w="1440"/>
          </w:tcPr>
          <w:p>
            <w:r>
              <w:rPr>
                <w:rFonts w:ascii="Calibri" w:hAnsi="Calibri"/>
                <w:sz w:val="22"/>
              </w:rPr>
              <w:t>$125.59 (Jul 31)</w:t>
            </w:r>
          </w:p>
        </w:tc>
        <w:tc>
          <w:tcPr>
            <w:tcW w:type="dxa" w:w="1440"/>
          </w:tcPr>
          <w:p>
            <w:r>
              <w:rPr>
                <w:rFonts w:ascii="Calibri" w:hAnsi="Calibri"/>
                <w:b/>
                <w:color w:val="E5484D"/>
                <w:sz w:val="22"/>
              </w:rPr>
              <w:t>-3.0%</w:t>
            </w:r>
          </w:p>
        </w:tc>
        <w:tc>
          <w:tcPr>
            <w:tcW w:type="dxa" w:w="1440"/>
          </w:tcPr>
          <w:p>
            <w:r>
              <w:rPr>
                <w:rFonts w:ascii="Calibri" w:hAnsi="Calibri"/>
                <w:sz w:val="22"/>
              </w:rPr>
              <w:t>$138.91 (Jun 17)</w:t>
            </w:r>
          </w:p>
        </w:tc>
        <w:tc>
          <w:tcPr>
            <w:tcW w:type="dxa" w:w="1440"/>
          </w:tcPr>
          <w:p>
            <w:r>
              <w:rPr>
                <w:rFonts w:ascii="Calibri" w:hAnsi="Calibri"/>
                <w:sz w:val="22"/>
              </w:rPr>
              <w:t>$114.83 (Jun 29)</w:t>
            </w:r>
          </w:p>
        </w:tc>
      </w:tr>
      <w:tr>
        <w:tc>
          <w:tcPr>
            <w:tcW w:type="dxa" w:w="1440"/>
          </w:tcPr>
          <w:p>
            <w:r>
              <w:rPr>
                <w:rFonts w:ascii="Calibri" w:hAnsi="Calibri"/>
                <w:sz w:val="22"/>
              </w:rPr>
              <w:t>KKR</w:t>
            </w:r>
          </w:p>
        </w:tc>
        <w:tc>
          <w:tcPr>
            <w:tcW w:type="dxa" w:w="1440"/>
          </w:tcPr>
          <w:p>
            <w:r>
              <w:rPr>
                <w:rFonts w:ascii="Calibri" w:hAnsi="Calibri"/>
                <w:sz w:val="22"/>
              </w:rPr>
              <w:t>$100.79</w:t>
            </w:r>
          </w:p>
        </w:tc>
        <w:tc>
          <w:tcPr>
            <w:tcW w:type="dxa" w:w="1440"/>
          </w:tcPr>
          <w:p>
            <w:r>
              <w:rPr>
                <w:rFonts w:ascii="Calibri" w:hAnsi="Calibri"/>
                <w:sz w:val="22"/>
              </w:rPr>
              <w:t>$101.43 (Jul 31)</w:t>
            </w:r>
          </w:p>
        </w:tc>
        <w:tc>
          <w:tcPr>
            <w:tcW w:type="dxa" w:w="1440"/>
          </w:tcPr>
          <w:p>
            <w:r>
              <w:rPr>
                <w:rFonts w:ascii="Calibri" w:hAnsi="Calibri"/>
                <w:b/>
                <w:color w:val="30A46C"/>
                <w:sz w:val="22"/>
              </w:rPr>
              <w:t>+0.6%</w:t>
            </w:r>
          </w:p>
        </w:tc>
        <w:tc>
          <w:tcPr>
            <w:tcW w:type="dxa" w:w="1440"/>
          </w:tcPr>
          <w:p>
            <w:r>
              <w:rPr>
                <w:rFonts w:ascii="Calibri" w:hAnsi="Calibri"/>
                <w:sz w:val="22"/>
              </w:rPr>
              <w:t>$102.75 (Jul 16)</w:t>
            </w:r>
          </w:p>
        </w:tc>
        <w:tc>
          <w:tcPr>
            <w:tcW w:type="dxa" w:w="1440"/>
          </w:tcPr>
          <w:p>
            <w:r>
              <w:rPr>
                <w:rFonts w:ascii="Calibri" w:hAnsi="Calibri"/>
                <w:sz w:val="22"/>
              </w:rPr>
              <w:t>$88.94 (Jun 29)</w:t>
            </w:r>
          </w:p>
        </w:tc>
      </w:tr>
      <w:tr>
        <w:tc>
          <w:tcPr>
            <w:tcW w:type="dxa" w:w="1440"/>
          </w:tcPr>
          <w:p>
            <w:r>
              <w:rPr>
                <w:rFonts w:ascii="Calibri" w:hAnsi="Calibri"/>
                <w:sz w:val="22"/>
              </w:rPr>
              <w:t>KIE (Insurance ETF)</w:t>
            </w:r>
          </w:p>
        </w:tc>
        <w:tc>
          <w:tcPr>
            <w:tcW w:type="dxa" w:w="1440"/>
          </w:tcPr>
          <w:p>
            <w:r>
              <w:rPr>
                <w:rFonts w:ascii="Calibri" w:hAnsi="Calibri"/>
                <w:sz w:val="22"/>
              </w:rPr>
              <w:t>$56.35</w:t>
            </w:r>
          </w:p>
        </w:tc>
        <w:tc>
          <w:tcPr>
            <w:tcW w:type="dxa" w:w="1440"/>
          </w:tcPr>
          <w:p>
            <w:r>
              <w:rPr>
                <w:rFonts w:ascii="Calibri" w:hAnsi="Calibri"/>
                <w:sz w:val="22"/>
              </w:rPr>
              <w:t>$64.24 (Jul 31)</w:t>
            </w:r>
          </w:p>
        </w:tc>
        <w:tc>
          <w:tcPr>
            <w:tcW w:type="dxa" w:w="1440"/>
          </w:tcPr>
          <w:p>
            <w:r>
              <w:rPr>
                <w:rFonts w:ascii="Calibri" w:hAnsi="Calibri"/>
                <w:b/>
                <w:color w:val="30A46C"/>
                <w:sz w:val="22"/>
              </w:rPr>
              <w:t>+13.9%</w:t>
            </w:r>
          </w:p>
        </w:tc>
        <w:tc>
          <w:tcPr>
            <w:tcW w:type="dxa" w:w="1440"/>
          </w:tcPr>
          <w:p>
            <w:r>
              <w:rPr>
                <w:rFonts w:ascii="Calibri" w:hAnsi="Calibri"/>
                <w:sz w:val="22"/>
              </w:rPr>
              <w:t>$66.45 (Jul 28)</w:t>
            </w:r>
          </w:p>
        </w:tc>
        <w:tc>
          <w:tcPr>
            <w:tcW w:type="dxa" w:w="1440"/>
          </w:tcPr>
          <w:p>
            <w:r>
              <w:rPr>
                <w:rFonts w:ascii="Calibri" w:hAnsi="Calibri"/>
                <w:sz w:val="22"/>
              </w:rPr>
              <w:t>$54.24 (Jun 3)</w:t>
            </w:r>
          </w:p>
        </w:tc>
      </w:tr>
      <w:tr>
        <w:tc>
          <w:tcPr>
            <w:tcW w:type="dxa" w:w="1440"/>
          </w:tcPr>
          <w:p>
            <w:r>
              <w:rPr>
                <w:rFonts w:ascii="Calibri" w:hAnsi="Calibri"/>
                <w:sz w:val="22"/>
              </w:rPr>
              <w:t>SPY (S&amp;P 500)</w:t>
            </w:r>
          </w:p>
        </w:tc>
        <w:tc>
          <w:tcPr>
            <w:tcW w:type="dxa" w:w="1440"/>
          </w:tcPr>
          <w:p>
            <w:r>
              <w:rPr>
                <w:rFonts w:ascii="Calibri" w:hAnsi="Calibri"/>
                <w:sz w:val="22"/>
              </w:rPr>
              <w:t>$733.83</w:t>
            </w:r>
          </w:p>
        </w:tc>
        <w:tc>
          <w:tcPr>
            <w:tcW w:type="dxa" w:w="1440"/>
          </w:tcPr>
          <w:p>
            <w:r>
              <w:rPr>
                <w:rFonts w:ascii="Calibri" w:hAnsi="Calibri"/>
                <w:sz w:val="22"/>
              </w:rPr>
              <w:t>$747.03 (Jul 31)</w:t>
            </w:r>
          </w:p>
        </w:tc>
        <w:tc>
          <w:tcPr>
            <w:tcW w:type="dxa" w:w="1440"/>
          </w:tcPr>
          <w:p>
            <w:r>
              <w:rPr>
                <w:rFonts w:ascii="Calibri" w:hAnsi="Calibri"/>
                <w:b/>
                <w:color w:val="30A46C"/>
                <w:sz w:val="22"/>
              </w:rPr>
              <w:t>+1.8%</w:t>
            </w:r>
          </w:p>
        </w:tc>
        <w:tc>
          <w:tcPr>
            <w:tcW w:type="dxa" w:w="1440"/>
          </w:tcPr>
          <w:p>
            <w:r>
              <w:rPr>
                <w:rFonts w:ascii="Calibri" w:hAnsi="Calibri"/>
                <w:sz w:val="22"/>
              </w:rPr>
              <w:t>$758.54 (May 28)</w:t>
            </w:r>
          </w:p>
        </w:tc>
        <w:tc>
          <w:tcPr>
            <w:tcW w:type="dxa" w:w="1440"/>
          </w:tcPr>
          <w:p>
            <w:r>
              <w:rPr>
                <w:rFonts w:ascii="Calibri" w:hAnsi="Calibri"/>
                <w:sz w:val="22"/>
              </w:rPr>
              <w:t>$725.43 (Jun 10)</w:t>
            </w:r>
          </w:p>
        </w:tc>
      </w:tr>
    </w:tbl>
    <w:p>
      <w:r>
        <w:rPr>
          <w:rFonts w:ascii="Calibri" w:hAnsi="Calibri"/>
          <w:color w:val="525866"/>
          <w:sz w:val="22"/>
        </w:rPr>
        <w:t>*Aug 3 data reflects Jul 31 close (last available trading day). Aug 4 pre-market: APO +$3.83 / +3.0% to $129.42 (post-earnings reaction not included in table above).</w:t>
      </w:r>
    </w:p>
    <w:p>
      <w:r>
        <w:rPr>
          <w:rFonts w:ascii="Calibri" w:hAnsi="Calibri"/>
          <w:b/>
          <w:color w:val="525866"/>
          <w:sz w:val="22"/>
        </w:rPr>
        <w:t>Key Events Since May 6, 2026:</w:t>
      </w:r>
    </w:p>
    <w:p>
      <w:pPr>
        <w:pStyle w:val="ListBullet"/>
        <w:ind w:left="360" w:hanging="360"/>
      </w:pPr>
      <w:r>
        <w:rPr>
          <w:rFonts w:ascii="Calibri" w:hAnsi="Calibri"/>
          <w:b/>
          <w:color w:val="525866"/>
          <w:sz w:val="22"/>
        </w:rPr>
        <w:t xml:space="preserve">May 15: </w:t>
      </w:r>
      <w:r>
        <w:rPr>
          <w:rFonts w:ascii="Calibri" w:hAnsi="Calibri"/>
          <w:color w:val="525866"/>
          <w:sz w:val="22"/>
        </w:rPr>
        <w:t>Athene Fixed Income Investor Call — confirmed strong April/May retail flows ($3.7B in April), improving competitive environment, and detailed portfolio transparency disclosures. APO +4.5% in the week following.</w:t>
      </w:r>
    </w:p>
    <w:p>
      <w:pPr>
        <w:pStyle w:val="ListBullet"/>
        <w:ind w:left="360" w:hanging="360"/>
      </w:pPr>
      <w:r>
        <w:rPr>
          <w:rFonts w:ascii="Calibri" w:hAnsi="Calibri"/>
          <w:b/>
          <w:color w:val="525866"/>
          <w:sz w:val="22"/>
        </w:rPr>
        <w:t xml:space="preserve">Jun 3–10: </w:t>
      </w:r>
      <w:r>
        <w:rPr>
          <w:rFonts w:ascii="Calibri" w:hAnsi="Calibri"/>
          <w:color w:val="525866"/>
          <w:sz w:val="22"/>
        </w:rPr>
        <w:t>Sector-wide selloff driven by Broadcom AI outlook concerns and broader private credit sentiment; APO fell from ~$128 to ~$124, KKR fell ~5%.</w:t>
      </w:r>
    </w:p>
    <w:p>
      <w:pPr>
        <w:pStyle w:val="ListBullet"/>
        <w:ind w:left="360" w:hanging="360"/>
      </w:pPr>
      <w:r>
        <w:rPr>
          <w:rFonts w:ascii="Calibri" w:hAnsi="Calibri"/>
          <w:b/>
          <w:color w:val="525866"/>
          <w:sz w:val="22"/>
        </w:rPr>
        <w:t xml:space="preserve">Jun 17–29: </w:t>
      </w:r>
      <w:r>
        <w:rPr>
          <w:rFonts w:ascii="Calibri" w:hAnsi="Calibri"/>
          <w:color w:val="525866"/>
          <w:sz w:val="22"/>
        </w:rPr>
        <w:t>APO peaked at $138.91 (Jun 17) then sold off sharply to $114.83 (Jun 29) — a ~17% drawdown — coinciding with broader alt manager sector rotation and private credit redemption headlines (Ares capping redemptions Jun 25, Blue Owl redemption concerns).</w:t>
      </w:r>
    </w:p>
    <w:p>
      <w:pPr>
        <w:pStyle w:val="ListBullet"/>
        <w:ind w:left="360" w:hanging="360"/>
      </w:pPr>
      <w:r>
        <w:rPr>
          <w:rFonts w:ascii="Calibri" w:hAnsi="Calibri"/>
          <w:b/>
          <w:color w:val="525866"/>
          <w:sz w:val="22"/>
        </w:rPr>
        <w:t xml:space="preserve">Jul 1: </w:t>
      </w:r>
      <w:r>
        <w:rPr>
          <w:rFonts w:ascii="Calibri" w:hAnsi="Calibri"/>
          <w:color w:val="525866"/>
          <w:sz w:val="22"/>
        </w:rPr>
        <w:t>Apollo 8-K pre-announced Q2 alternative net investment income of ~$350M (~9% annualized). APO +0.1% on the day; market had partially priced in the improvement.</w:t>
      </w:r>
    </w:p>
    <w:p>
      <w:pPr>
        <w:pStyle w:val="ListBullet"/>
        <w:ind w:left="360" w:hanging="360"/>
      </w:pPr>
      <w:r>
        <w:rPr>
          <w:rFonts w:ascii="Calibri" w:hAnsi="Calibri"/>
          <w:b/>
          <w:color w:val="525866"/>
          <w:sz w:val="22"/>
        </w:rPr>
        <w:t xml:space="preserve">Jul 23☰: </w:t>
      </w:r>
      <w:r>
        <w:rPr>
          <w:rFonts w:ascii="Calibri" w:hAnsi="Calibri"/>
          <w:color w:val="525866"/>
          <w:sz w:val="22"/>
        </w:rPr>
        <w:t>BX Q2 earnings (Jul 23) and KKR Q2 earnings (Jul 30) both beat — KKR reported record monetizations and $34B in Q2 fundraising; APO recovered from trough, up ~9% from Jun 29 lows to Jul 31.</w:t>
      </w:r>
    </w:p>
    <w:p>
      <w:r>
        <w:rPr>
          <w:rFonts w:ascii="Calibri" w:hAnsi="Calibri"/>
          <w:b/>
          <w:color w:val="525866"/>
          <w:sz w:val="22"/>
        </w:rPr>
        <w:t xml:space="preserve">Valuation Context: </w:t>
      </w:r>
      <w:r>
        <w:rPr>
          <w:rFonts w:ascii="Calibri" w:hAnsi="Calibri"/>
          <w:color w:val="525866"/>
          <w:sz w:val="22"/>
        </w:rPr>
        <w:t>APO trades at ~12.7x NTM P/E vs. ~16.9x 12 months ago — a 25% multiple compression that has been the primary driver of the stock’s -11% 12-month return. The 1-month performance (+9.1%) suggests the market is beginning to re-rate as private credit sentiment stabilizes and peer prints confirm the alt manager earnings cycle remains intact.</w:t>
      </w:r>
    </w:p>
    <w:p>
      <w:r>
        <w:rPr>
          <w:rFonts w:ascii="Calibri" w:hAnsi="Calibri"/>
          <w:i/>
          <w:color w:val="525866"/>
          <w:sz w:val="22"/>
        </w:rPr>
        <w:t>Source: Stock Price Data (Yahoo Finance); APO Stock Performance Decomposition.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July 1 pre-announcement of ~$350M in Q2 alternative net investment income</w:t>
      </w:r>
      <w:r>
        <w:rPr>
          <w:rFonts w:ascii="Calibri" w:hAnsi="Calibri"/>
          <w:color w:val="525866"/>
          <w:sz w:val="22"/>
        </w:rPr>
        <w:t xml:space="preserve"> — a direct positive read-through for SRE that confirms the Q1 alts headwind was largely non-recurring; the easyJet bid (Jul 20) is a secondary wildcard that could signal Apollo’s appetite for large-scale balance sheet deployment.</w:t>
      </w:r>
    </w:p>
    <w:p>
      <w:pPr>
        <w:pStyle w:val="ListBullet"/>
        <w:ind w:left="360" w:hanging="360"/>
      </w:pPr>
      <w:r>
        <w:rPr>
          <w:rFonts w:ascii="Calibri" w:hAnsi="Calibri"/>
          <w:b/>
          <w:color w:val="525866"/>
          <w:sz w:val="22"/>
        </w:rPr>
        <w:t xml:space="preserve">Jul 1, 2026 — Apollo 8-K: Q2 Alts Pre-Announcement (~$350M, ~9% annualized). </w:t>
      </w:r>
      <w:r>
        <w:rPr>
          <w:rFonts w:ascii="Calibri" w:hAnsi="Calibri"/>
          <w:color w:val="525866"/>
          <w:sz w:val="22"/>
        </w:rPr>
        <w:t xml:space="preserve">Apollo pre-announced Q2 alternative net investment income of approximately $350M pre-tax, implying a ~9% annualized return on alternative net investments. The pooled vehicle (majority of alts) returned ~10% annualized; other alts (retirement services platforms) returned ~6%. This is a material step up from Q1’s 6% blended return and removes the largest SRE uncertainty heading into the print. </w:t>
      </w:r>
    </w:p>
    <w:p>
      <w:pPr>
        <w:pStyle w:val="ListBullet"/>
        <w:ind w:left="360" w:hanging="360"/>
      </w:pPr>
      <w:r>
        <w:rPr>
          <w:rFonts w:ascii="Calibri" w:hAnsi="Calibri"/>
          <w:b/>
          <w:color w:val="525866"/>
          <w:sz w:val="22"/>
        </w:rPr>
        <w:t xml:space="preserve">Jul 20, 2026 — Apollo / easyJet Bid (715p/share, ~£5.7B). </w:t>
      </w:r>
      <w:r>
        <w:rPr>
          <w:rFonts w:ascii="Calibri" w:hAnsi="Calibri"/>
          <w:color w:val="525866"/>
          <w:sz w:val="22"/>
        </w:rPr>
        <w:t>Apollo and easyJet announced an agreement in principle on a cash offer at 715 pence per share, valuing the airline at ~£5.7B. Apollo must announce a firm intention or walk away by August 7 under UK takeover rules. Implication: signals Apollo’s willingness to deploy balance sheet capital at scale in non-traditional sectors; could be a read-through for the “balance sheet heaviness as competitive advantage” thesis management has been articulating.</w:t>
      </w:r>
    </w:p>
    <w:p>
      <w:pPr>
        <w:pStyle w:val="ListBullet"/>
        <w:ind w:left="360" w:hanging="360"/>
      </w:pPr>
      <w:r>
        <w:rPr>
          <w:rFonts w:ascii="Calibri" w:hAnsi="Calibri"/>
          <w:b/>
          <w:color w:val="525866"/>
          <w:sz w:val="22"/>
        </w:rPr>
        <w:t xml:space="preserve">Jun 9, 2026 — Apollo / Broadcom AI XPV Platform ($35B). </w:t>
      </w:r>
      <w:r>
        <w:rPr>
          <w:rFonts w:ascii="Calibri" w:hAnsi="Calibri"/>
          <w:color w:val="525866"/>
          <w:sz w:val="22"/>
        </w:rPr>
        <w:t>Apollo (in partnership with Blackstone) announced a $35B financing platform for Broadcom’s AI compute deployment — described as the largest private credit investment in history. Implication: directly validates Apollo’s AI infrastructure origination thesis and should contribute to record ACS fees in Q2; management had flagged this as a primary driver of origination growth without spread compression.</w:t>
      </w:r>
    </w:p>
    <w:p>
      <w:pPr>
        <w:pStyle w:val="ListBullet"/>
        <w:ind w:left="360" w:hanging="360"/>
      </w:pPr>
      <w:r>
        <w:rPr>
          <w:rFonts w:ascii="Calibri" w:hAnsi="Calibri"/>
          <w:b/>
          <w:color w:val="525866"/>
          <w:sz w:val="22"/>
        </w:rPr>
        <w:t xml:space="preserve">May 15, 2026 — Athene Fixed Income Investor Call. </w:t>
      </w:r>
      <w:r>
        <w:rPr>
          <w:rFonts w:ascii="Calibri" w:hAnsi="Calibri"/>
          <w:color w:val="525866"/>
          <w:sz w:val="22"/>
        </w:rPr>
        <w:t>Athene confirmed $3.7B in April retail business (continuing into May), strong flow reinsurance momentum, and published three granular portfolio disclosure documents (alternatives, full asset compendium, affiliated/related party assets). Implication: positive read-through for Q2 Athene inflows and SRE; transparency initiative positions Athene favorably with regulators and institutional investors.</w:t>
      </w:r>
    </w:p>
    <w:p>
      <w:pPr>
        <w:pStyle w:val="ListBullet"/>
        <w:ind w:left="360" w:hanging="360"/>
      </w:pPr>
      <w:r>
        <w:rPr>
          <w:rFonts w:ascii="Calibri" w:hAnsi="Calibri"/>
          <w:b/>
          <w:color w:val="525866"/>
          <w:sz w:val="22"/>
        </w:rPr>
        <w:t xml:space="preserve">May 1, 2026 — Athene Portfolio Disclosures (8-K). </w:t>
      </w:r>
      <w:r>
        <w:rPr>
          <w:rFonts w:ascii="Calibri" w:hAnsi="Calibri"/>
          <w:color w:val="525866"/>
          <w:sz w:val="22"/>
        </w:rPr>
        <w:t>Apollo published detailed Athene asset portfolio presentations including alternatives spotlight, full asset compendium, and affiliated/related party assets. Implication: proactive transparency reduces regulatory risk and addresses private credit skeptics; management framed this as a structural competitive advantage.</w:t>
      </w:r>
    </w:p>
    <w:p>
      <w:pPr>
        <w:pStyle w:val="ListBullet"/>
        <w:ind w:left="360" w:hanging="360"/>
      </w:pPr>
      <w:r>
        <w:rPr>
          <w:rFonts w:ascii="Calibri" w:hAnsi="Calibri"/>
          <w:b/>
          <w:color w:val="525866"/>
          <w:sz w:val="22"/>
        </w:rPr>
        <w:t xml:space="preserve">Jun 25, 2026 — Apollo Confirms Aug 4 Earnings Date. </w:t>
      </w:r>
      <w:r>
        <w:rPr>
          <w:rFonts w:ascii="Calibri" w:hAnsi="Calibri"/>
          <w:color w:val="525866"/>
          <w:sz w:val="22"/>
        </w:rPr>
        <w:t>Apollo confirmed Q2 2026 financial results will be released August 4, 2026 before the US open, with an earnings call at 8:30 AM ET.</w:t>
      </w:r>
    </w:p>
    <w:p>
      <w:pPr>
        <w:pStyle w:val="ListBullet"/>
        <w:ind w:left="360" w:hanging="360"/>
      </w:pPr>
      <w:r>
        <w:rPr>
          <w:rFonts w:ascii="Calibri" w:hAnsi="Calibri"/>
          <w:b/>
          <w:color w:val="525866"/>
          <w:sz w:val="22"/>
        </w:rPr>
        <w:t xml:space="preserve">Jun 25, 2026 — Ares Caps Private Credit Fund Redemptions (Second Time). </w:t>
      </w:r>
      <w:r>
        <w:rPr>
          <w:rFonts w:ascii="Calibri" w:hAnsi="Calibri"/>
          <w:color w:val="525866"/>
          <w:sz w:val="22"/>
        </w:rPr>
        <w:t>Ares capped redemptions on its private credit fund for the second time as 14% of investors sought exits. Implication: negative sector sentiment read-through for Apollo’s non-traded BDC (ADS), though management had already flagged elevated redemptions would persist for multiple quarters; Blue Owl also maintained its 5% withdrawal cap.</w:t>
      </w:r>
    </w:p>
    <w:p>
      <w:pPr>
        <w:pStyle w:val="ListBullet"/>
        <w:ind w:left="360" w:hanging="360"/>
      </w:pPr>
      <w:r>
        <w:rPr>
          <w:rFonts w:ascii="Calibri" w:hAnsi="Calibri"/>
          <w:b/>
          <w:color w:val="525866"/>
          <w:sz w:val="22"/>
        </w:rPr>
        <w:t xml:space="preserve">Jul 30, 2026 — KKR Q2 Earnings Beat ($1.63 adj. EPS vs. $1.43 consensus). </w:t>
      </w:r>
      <w:r>
        <w:rPr>
          <w:rFonts w:ascii="Calibri" w:hAnsi="Calibri"/>
          <w:color w:val="525866"/>
          <w:sz w:val="22"/>
        </w:rPr>
        <w:t>KKR reported record monetizations, $34B in Q2 fundraising, and AUM of $796B (+16% YoY). Implication: strong positive read-through for Apollo’s fundraising, origination, and ACS fees; KKR’s record monetization quarter also suggests improving exit environment.</w:t>
      </w:r>
    </w:p>
    <w:p>
      <w:pPr>
        <w:pStyle w:val="ListBullet"/>
        <w:ind w:left="360" w:hanging="360"/>
      </w:pPr>
      <w:r>
        <w:rPr>
          <w:rFonts w:ascii="Calibri" w:hAnsi="Calibri"/>
          <w:b/>
          <w:color w:val="525866"/>
          <w:sz w:val="22"/>
        </w:rPr>
        <w:t xml:space="preserve">Jul 31, 2026 — Ares Q2 Earnings Beat ($1.29 adj. EPS vs. $1.27 consensus). </w:t>
      </w:r>
      <w:r>
        <w:rPr>
          <w:rFonts w:ascii="Calibri" w:hAnsi="Calibri"/>
          <w:color w:val="525866"/>
          <w:sz w:val="22"/>
        </w:rPr>
        <w:t>Ares reported record $36B+ in Q2 fundraising, 100 bps FRE margin expansion YoY, and AUM of $671B. Implication: confirms robust institutional demand for alternative assets and validates Apollo’s FRE growth trajectory.</w:t>
      </w:r>
    </w:p>
    <w:p>
      <w:pPr>
        <w:pStyle w:val="ListBullet"/>
        <w:ind w:left="360" w:hanging="360"/>
      </w:pPr>
      <w:r>
        <w:rPr>
          <w:rFonts w:ascii="Calibri" w:hAnsi="Calibri"/>
          <w:b/>
          <w:color w:val="525866"/>
          <w:sz w:val="22"/>
        </w:rPr>
        <w:t xml:space="preserve">Jul 30, 2026 — Blue Owl Q2 Results (In Line). </w:t>
      </w:r>
      <w:r>
        <w:rPr>
          <w:rFonts w:ascii="Calibri" w:hAnsi="Calibri"/>
          <w:color w:val="525866"/>
          <w:sz w:val="22"/>
        </w:rPr>
        <w:t>Blue Owl reported $22c adj. distributable EPS (in line), AUM +12% to $319B, but credit outflows as wealthy investors pulled back. CFO stated “we think we’ve troughed by way of inflows.” Implication: mixed read-through — credit outflows are a near-term headwind for Apollo’s ADS BDC, but the “troughing” commentary is constructive for the sector.</w:t>
      </w:r>
    </w:p>
    <w:p>
      <w:pPr>
        <w:pStyle w:val="ListBullet"/>
        <w:ind w:left="360" w:hanging="360"/>
      </w:pPr>
      <w:r>
        <w:rPr>
          <w:rFonts w:ascii="Calibri" w:hAnsi="Calibri"/>
          <w:b/>
          <w:color w:val="525866"/>
          <w:sz w:val="22"/>
        </w:rPr>
        <w:t xml:space="preserve">Jul 23, 2026 — Blackstone Q2 Earnings (Strong). </w:t>
      </w:r>
      <w:r>
        <w:rPr>
          <w:rFonts w:ascii="Calibri" w:hAnsi="Calibri"/>
          <w:color w:val="525866"/>
          <w:sz w:val="22"/>
        </w:rPr>
        <w:t>BX reported distributable earnings up 26% YoY, record $321M in transaction/advisory fees, and $70B in Q2 inflows. Implication: strong positive read-through for Apollo’s ACS fees and capital formation; BX’s record transaction fees driven by infrastructure financings directly parallels Apollo’s HECS business.</w:t>
      </w:r>
    </w:p>
    <w:p>
      <w:r>
        <w:br w:type="page"/>
      </w:r>
    </w:p>
    <w:p>
      <w:pPr>
        <w:pStyle w:val="Heading2"/>
      </w:pPr>
      <w:r>
        <w:rPr>
          <w:rFonts w:ascii="Calibri" w:hAnsi="Calibri"/>
          <w:b/>
          <w:color w:val="3B4259"/>
          <w:sz w:val="28"/>
        </w:rPr>
        <w:t>7. Peer Commentary &amp; Current-Quarter Read-Throughs (Q2 2026)</w:t>
      </w:r>
    </w:p>
    <w:p>
      <w:r>
        <w:rPr>
          <w:rFonts w:ascii="Calibri" w:hAnsi="Calibri"/>
          <w:b/>
          <w:color w:val="525866"/>
          <w:sz w:val="22"/>
        </w:rPr>
        <w:t xml:space="preserve">Key Takeaway: </w:t>
      </w:r>
      <w:r>
        <w:rPr>
          <w:rFonts w:ascii="Calibri" w:hAnsi="Calibri"/>
          <w:color w:val="525866"/>
          <w:sz w:val="22"/>
        </w:rPr>
        <w:t xml:space="preserve">Peer Q2 2026 earnings calls from Blackstone, KKR, Ares, and Blue Owl — all reporting before Apollo — paint a </w:t>
      </w:r>
      <w:r>
        <w:rPr>
          <w:rFonts w:ascii="Calibri" w:hAnsi="Calibri"/>
          <w:b/>
          <w:color w:val="525866"/>
          <w:sz w:val="22"/>
        </w:rPr>
        <w:t>broadly constructive picture for Apollo’s Q2</w:t>
      </w:r>
      <w:r>
        <w:rPr>
          <w:rFonts w:ascii="Calibri" w:hAnsi="Calibri"/>
          <w:color w:val="525866"/>
          <w:sz w:val="22"/>
        </w:rPr>
        <w:t>: record fundraising, robust AI infrastructure deployment, improving private credit sentiment, and strong transaction fee generation are all positive read-throughs; the primary risk is continued SRE pressure from the competitive insurance/annuity market and lingering BDC redemptions.</w:t>
      </w:r>
    </w:p>
    <w:p>
      <w:r>
        <w:rPr>
          <w:rFonts w:ascii="Calibri" w:hAnsi="Calibri"/>
          <w:b/>
          <w:color w:val="525866"/>
          <w:sz w:val="22"/>
        </w:rPr>
        <w:t xml:space="preserve">Note: </w:t>
      </w:r>
      <w:r>
        <w:rPr>
          <w:rFonts w:ascii="Calibri" w:hAnsi="Calibri"/>
          <w:i/>
          <w:color w:val="525866"/>
          <w:sz w:val="22"/>
        </w:rPr>
        <w:t>All commentary below is strictly from Q2 2026 earnings calls or post-Q1 2026 management commentary about current-quarter (Q2 2026) conditions. No prior-quarter results commentary is included.</w:t>
      </w:r>
    </w:p>
    <w:p>
      <w:pPr>
        <w:pStyle w:val="Heading3"/>
      </w:pPr>
      <w:r>
        <w:rPr>
          <w:rFonts w:ascii="Calibri" w:hAnsi="Calibri"/>
          <w:b/>
          <w:color w:val="3B4259"/>
          <w:sz w:val="24"/>
        </w:rPr>
        <w:t>Blackstone (BX) — Q2 2026 Earnings Call (July 23, 2026)</w:t>
      </w:r>
    </w:p>
    <w:p>
      <w:r>
        <w:rPr>
          <w:rFonts w:ascii="Calibri" w:hAnsi="Calibri"/>
          <w:b/>
          <w:color w:val="30A46C"/>
          <w:sz w:val="22"/>
        </w:rPr>
        <w:t>Positive Read-Throughs for APO:</w:t>
      </w:r>
    </w:p>
    <w:p>
      <w:pPr>
        <w:pStyle w:val="ListBullet"/>
        <w:ind w:left="360" w:hanging="360"/>
      </w:pPr>
      <w:r>
        <w:rPr>
          <w:rFonts w:ascii="Calibri" w:hAnsi="Calibri"/>
          <w:b/>
          <w:color w:val="525866"/>
          <w:sz w:val="22"/>
        </w:rPr>
        <w:t xml:space="preserve">Record Transaction &amp; Advisory Fees ($321M in Q2). </w:t>
      </w:r>
      <w:r>
        <w:rPr>
          <w:rFonts w:ascii="Calibri" w:hAnsi="Calibri"/>
          <w:color w:val="525866"/>
          <w:sz w:val="22"/>
        </w:rPr>
        <w:t>BX generated a record $321M in transaction and advisory fees in Q2, driven by infrastructure financings including a $5.34B investment in Williams for data center power projects and the $35B Broadcom AI compute financing platform (co-executed with Apollo). This directly validates Apollo’s ACS fee pipeline and suggests Apollo’s Q2 ACS fees could also be at or near record levels.</w:t>
      </w:r>
    </w:p>
    <w:p>
      <w:pPr>
        <w:pStyle w:val="ListBullet"/>
        <w:ind w:left="360" w:hanging="360"/>
      </w:pPr>
      <w:r>
        <w:rPr>
          <w:rFonts w:ascii="Calibri" w:hAnsi="Calibri"/>
          <w:b/>
          <w:color w:val="525866"/>
          <w:sz w:val="22"/>
        </w:rPr>
        <w:t xml:space="preserve">Record Capital Formation ($70B in Q2, $260B LTM). </w:t>
      </w:r>
      <w:r>
        <w:rPr>
          <w:rFonts w:ascii="Calibri" w:hAnsi="Calibri"/>
          <w:color w:val="525866"/>
          <w:sz w:val="22"/>
        </w:rPr>
        <w:t>BX reported nearly $70B in Q2 inflows across institutional, insurance, and individual investor channels, with private wealth AUM up 16% YoY to a record $324B. July 1 saw BX’s BCMA business report its best single month of fundraising in history ($4.8B). This confirms a robust fundraising environment that should benefit Apollo’s own capital formation.</w:t>
      </w:r>
    </w:p>
    <w:p>
      <w:pPr>
        <w:pStyle w:val="ListBullet"/>
        <w:ind w:left="360" w:hanging="360"/>
      </w:pPr>
      <w:r>
        <w:rPr>
          <w:rFonts w:ascii="Calibri" w:hAnsi="Calibri"/>
          <w:b/>
          <w:color w:val="525866"/>
          <w:sz w:val="22"/>
        </w:rPr>
        <w:t xml:space="preserve">AI Infrastructure Demand is ‘Unprecedented.’ </w:t>
      </w:r>
      <w:r>
        <w:rPr>
          <w:rFonts w:ascii="Calibri" w:hAnsi="Calibri"/>
          <w:color w:val="525866"/>
          <w:sz w:val="22"/>
        </w:rPr>
        <w:t>BX CEO Steve Schwarzman described the capital needs for the AI buildout as “remarkable” and “unprecedented,” with BX’s data center platform growing to $185B in total value (from $130B at start of 2026). BX expects to lease over 3x more data center capacity in 2026 than any prior year. This is a direct positive read-through for Apollo’s HECS origination pipeline, which management described as the deepest in firm history.</w:t>
      </w:r>
    </w:p>
    <w:p>
      <w:pPr>
        <w:pStyle w:val="ListBullet"/>
        <w:ind w:left="360" w:hanging="360"/>
      </w:pPr>
      <w:r>
        <w:rPr>
          <w:rFonts w:ascii="Calibri" w:hAnsi="Calibri"/>
          <w:b/>
          <w:color w:val="525866"/>
          <w:sz w:val="22"/>
        </w:rPr>
        <w:t xml:space="preserve">Private Wealth Recovery Underway. </w:t>
      </w:r>
      <w:r>
        <w:rPr>
          <w:rFonts w:ascii="Calibri" w:hAnsi="Calibri"/>
          <w:color w:val="525866"/>
          <w:sz w:val="22"/>
        </w:rPr>
        <w:t>BREIT raised $1.2B in Q2 with repurchases down 42% YoY and 33% sequentially, achieving the best regular-way net flows in nearly four years. BX stated BREIT is “back in growth mode.” BCRED redemptions are “down materially” in early Q3. This is a constructive read-through for Apollo’s ADS BDC, which management expected elevated redemptions to persist for multiple quarters.</w:t>
      </w:r>
    </w:p>
    <w:p>
      <w:pPr>
        <w:pStyle w:val="ListBullet"/>
        <w:ind w:left="360" w:hanging="360"/>
      </w:pPr>
      <w:r>
        <w:rPr>
          <w:rFonts w:ascii="Calibri" w:hAnsi="Calibri"/>
          <w:b/>
          <w:color w:val="525866"/>
          <w:sz w:val="22"/>
        </w:rPr>
        <w:t xml:space="preserve">Insurance AUM +15% YoY to $290B; New Nippon Life Partnership. </w:t>
      </w:r>
      <w:r>
        <w:rPr>
          <w:rFonts w:ascii="Calibri" w:hAnsi="Calibri"/>
          <w:color w:val="525866"/>
          <w:sz w:val="22"/>
        </w:rPr>
        <w:t>BX’s insurance platform reached $290B AUM, with a new partnership with Nippon Life (Japan’s largest life insurer) to deploy ~$10B in private credit. BX described the shift of insurers toward private investment-grade credit as a “structural trend” expected to continue. This validates Apollo’s Athene strategy and the long-term growth of the insurance channel.</w:t>
      </w:r>
    </w:p>
    <w:p>
      <w:r>
        <w:rPr>
          <w:rFonts w:ascii="Calibri" w:hAnsi="Calibri"/>
          <w:b/>
          <w:color w:val="E5484D"/>
          <w:sz w:val="22"/>
        </w:rPr>
        <w:t>Risk Read-Throughs for APO:</w:t>
      </w:r>
    </w:p>
    <w:p>
      <w:pPr>
        <w:pStyle w:val="ListBullet"/>
        <w:ind w:left="360" w:hanging="360"/>
      </w:pPr>
      <w:r>
        <w:rPr>
          <w:rFonts w:ascii="Calibri" w:hAnsi="Calibri"/>
          <w:b/>
          <w:color w:val="525866"/>
          <w:sz w:val="22"/>
        </w:rPr>
        <w:t xml:space="preserve">BCRED Net Outflows ($1.2B in Q2). </w:t>
      </w:r>
      <w:r>
        <w:rPr>
          <w:rFonts w:ascii="Calibri" w:hAnsi="Calibri"/>
          <w:color w:val="525866"/>
          <w:sz w:val="22"/>
        </w:rPr>
        <w:t>Despite improving trends, BCRED still experienced net outflows of $1.2B in Q2 as repurchase requests exceeded the 5% limit. This is a near-term headwind read-through for Apollo’s ADS BDC, which management had already flagged as experiencing elevated redemptions.</w:t>
      </w:r>
    </w:p>
    <w:p>
      <w:pPr>
        <w:pStyle w:val="ListBullet"/>
        <w:ind w:left="360" w:hanging="360"/>
      </w:pPr>
      <w:r>
        <w:rPr>
          <w:rFonts w:ascii="Calibri" w:hAnsi="Calibri"/>
          <w:b/>
          <w:color w:val="525866"/>
          <w:sz w:val="22"/>
        </w:rPr>
        <w:t xml:space="preserve">M&amp;A Muted in White-Collar Services / Enterprise Software. </w:t>
      </w:r>
      <w:r>
        <w:rPr>
          <w:rFonts w:ascii="Calibri" w:hAnsi="Calibri"/>
          <w:color w:val="525866"/>
          <w:sz w:val="22"/>
        </w:rPr>
        <w:t>BX noted that M&amp;A activity in white-collar services, professional information services, and enterprise software is muted due to AI disruption uncertainty, with buyers more cautious. This could weigh on direct lending deployment and performance fee crystallization in software-heavy portfolios.</w:t>
      </w:r>
    </w:p>
    <w:p>
      <w:pPr>
        <w:pStyle w:val="Heading3"/>
      </w:pPr>
      <w:r>
        <w:rPr>
          <w:rFonts w:ascii="Calibri" w:hAnsi="Calibri"/>
          <w:b/>
          <w:color w:val="3B4259"/>
          <w:sz w:val="24"/>
        </w:rPr>
        <w:t>KKR — Q2 2026 Earnings Call (July 30, 2026)</w:t>
      </w:r>
    </w:p>
    <w:p>
      <w:r>
        <w:rPr>
          <w:rFonts w:ascii="Calibri" w:hAnsi="Calibri"/>
          <w:b/>
          <w:color w:val="30A46C"/>
          <w:sz w:val="22"/>
        </w:rPr>
        <w:t>Positive Read-Throughs for APO:</w:t>
      </w:r>
    </w:p>
    <w:p>
      <w:pPr>
        <w:pStyle w:val="ListBullet"/>
        <w:ind w:left="360" w:hanging="360"/>
      </w:pPr>
      <w:r>
        <w:rPr>
          <w:rFonts w:ascii="Calibri" w:hAnsi="Calibri"/>
          <w:b/>
          <w:color w:val="525866"/>
          <w:sz w:val="22"/>
        </w:rPr>
        <w:t xml:space="preserve">Record Monetization Quarter in KKR History. </w:t>
      </w:r>
      <w:r>
        <w:rPr>
          <w:rFonts w:ascii="Calibri" w:hAnsi="Calibri"/>
          <w:color w:val="525866"/>
          <w:sz w:val="22"/>
        </w:rPr>
        <w:t>KKR reported its largest monetization quarter ever in Q2 2026, with exits diversified across strategies, regions, and exit types, generating multiples of 2x to 20x invested capital. KKR expressed “tremendous confidence” in its forward monetization pipeline and guided to “+/- $700M of monetization-related visibility” for Q3. This is a strong positive read-through for Apollo’s Principal Investing Income (PII) and realized performance fees.</w:t>
      </w:r>
    </w:p>
    <w:p>
      <w:pPr>
        <w:pStyle w:val="ListBullet"/>
        <w:ind w:left="360" w:hanging="360"/>
      </w:pPr>
      <w:r>
        <w:rPr>
          <w:rFonts w:ascii="Calibri" w:hAnsi="Calibri"/>
          <w:b/>
          <w:color w:val="525866"/>
          <w:sz w:val="22"/>
        </w:rPr>
        <w:t xml:space="preserve">Record Fundraising Year on Track ($305B raised in 2.5 years vs. $300B 3-year target). </w:t>
      </w:r>
      <w:r>
        <w:rPr>
          <w:rFonts w:ascii="Calibri" w:hAnsi="Calibri"/>
          <w:color w:val="525866"/>
          <w:sz w:val="22"/>
        </w:rPr>
        <w:t>KKR exceeded its three-year $300B fundraising target in just two and a half years, with $34B raised in Q2 alone. KKR expects a “record third-party credit fundraising year” and stated “our momentum feels like it’s accelerating.” This confirms the institutional demand environment that supports Apollo’s own fundraising.</w:t>
      </w:r>
    </w:p>
    <w:p>
      <w:pPr>
        <w:pStyle w:val="ListBullet"/>
        <w:ind w:left="360" w:hanging="360"/>
      </w:pPr>
      <w:r>
        <w:rPr>
          <w:rFonts w:ascii="Calibri" w:hAnsi="Calibri"/>
          <w:b/>
          <w:color w:val="525866"/>
          <w:sz w:val="22"/>
        </w:rPr>
        <w:t xml:space="preserve">Private Wealth AUM +70% LTM; +20% Net YTD. </w:t>
      </w:r>
      <w:r>
        <w:rPr>
          <w:rFonts w:ascii="Calibri" w:hAnsi="Calibri"/>
          <w:color w:val="525866"/>
          <w:sz w:val="22"/>
        </w:rPr>
        <w:t>Despite widespread media coverage of private credit redemptions, KKR reported private wealth AUM up 70% over the last 12 months and up 20% net year-to-date, with a “meaningful rebound from the April lows.” KKR’s Scott Nuttall stated: “You don’t read about in the articles as the inflows, but we’re up 20% net year to date.” This is a direct positive read-through for Apollo’s wealth channel narrative.</w:t>
      </w:r>
    </w:p>
    <w:p>
      <w:pPr>
        <w:pStyle w:val="ListBullet"/>
        <w:ind w:left="360" w:hanging="360"/>
      </w:pPr>
      <w:r>
        <w:rPr>
          <w:rFonts w:ascii="Calibri" w:hAnsi="Calibri"/>
          <w:b/>
          <w:color w:val="525866"/>
          <w:sz w:val="22"/>
        </w:rPr>
        <w:t xml:space="preserve">AI Infrastructure: ‘Trillions of Dollars’ Needed Over the Coming Decade. </w:t>
      </w:r>
      <w:r>
        <w:rPr>
          <w:rFonts w:ascii="Calibri" w:hAnsi="Calibri"/>
          <w:color w:val="525866"/>
          <w:sz w:val="22"/>
        </w:rPr>
        <w:t>KKR formed Helix Digital Infrastructure with $10B+ in initial committed capital, describing AI infrastructure as requiring “trillions of dollars of investment over the coming decade.” KKR deployed $24B in Q2 across diversified segments. This validates Apollo’s HECS origination thesis and the scale of the AI financing opportunity.</w:t>
      </w:r>
    </w:p>
    <w:p>
      <w:pPr>
        <w:pStyle w:val="ListBullet"/>
        <w:ind w:left="360" w:hanging="360"/>
      </w:pPr>
      <w:r>
        <w:rPr>
          <w:rFonts w:ascii="Calibri" w:hAnsi="Calibri"/>
          <w:b/>
          <w:color w:val="525866"/>
          <w:sz w:val="22"/>
        </w:rPr>
        <w:t xml:space="preserve">Private IG Credit Pipeline ‘Feels Very Good’ for H2. </w:t>
      </w:r>
      <w:r>
        <w:rPr>
          <w:rFonts w:ascii="Calibri" w:hAnsi="Calibri"/>
          <w:color w:val="525866"/>
          <w:sz w:val="22"/>
        </w:rPr>
        <w:t>KKR’s Craig Larsen noted that “demand from IG issuers for customized, privately bespoke solutions has really catalyzed the growth of the private IG market” and that the pipeline “feels very good as we look to the second half of the year.” This is a direct positive read-through for Apollo’s investment-grade origination and ACS fees.</w:t>
      </w:r>
    </w:p>
    <w:p>
      <w:r>
        <w:rPr>
          <w:rFonts w:ascii="Calibri" w:hAnsi="Calibri"/>
          <w:b/>
          <w:color w:val="E5484D"/>
          <w:sz w:val="22"/>
        </w:rPr>
        <w:t>Risk Read-Throughs for APO:</w:t>
      </w:r>
    </w:p>
    <w:p>
      <w:pPr>
        <w:pStyle w:val="ListBullet"/>
        <w:ind w:left="360" w:hanging="360"/>
      </w:pPr>
      <w:r>
        <w:rPr>
          <w:rFonts w:ascii="Calibri" w:hAnsi="Calibri"/>
          <w:b/>
          <w:color w:val="525866"/>
          <w:sz w:val="22"/>
        </w:rPr>
        <w:t xml:space="preserve">Insurance ROE ‘Structurally Low’ Due to Competition. </w:t>
      </w:r>
      <w:r>
        <w:rPr>
          <w:rFonts w:ascii="Calibri" w:hAnsi="Calibri"/>
          <w:color w:val="525866"/>
          <w:sz w:val="22"/>
        </w:rPr>
        <w:t>KKR acknowledged “heightened competition” in the insurance market and stated it is “allocating a little bit less capital to insurance based on what we’re seeing in the market today,” characterizing current insurance ROEs as “structurally low.” This is a risk read-through for Athene’s net spread, though Apollo has consistently argued its 30–40 bps origination advantage insulates it from this pressure.</w:t>
      </w:r>
    </w:p>
    <w:p>
      <w:pPr>
        <w:pStyle w:val="ListBullet"/>
        <w:ind w:left="360" w:hanging="360"/>
      </w:pPr>
      <w:r>
        <w:rPr>
          <w:rFonts w:ascii="Calibri" w:hAnsi="Calibri"/>
          <w:b/>
          <w:color w:val="525866"/>
          <w:sz w:val="22"/>
        </w:rPr>
        <w:t xml:space="preserve">Software / AI Disruption Risk to Portfolio Companies. </w:t>
      </w:r>
      <w:r>
        <w:rPr>
          <w:rFonts w:ascii="Calibri" w:hAnsi="Calibri"/>
          <w:color w:val="525866"/>
          <w:sz w:val="22"/>
        </w:rPr>
        <w:t>KKR noted that software exposure (~6% of AUM) faces AI disruption risk, though it characterized its own portfolio as “in very good shape.” The broader concern about AI disruption to white-collar services and enterprise software is relevant to Apollo’s direct lending book.</w:t>
      </w:r>
    </w:p>
    <w:p>
      <w:pPr>
        <w:pStyle w:val="Heading3"/>
      </w:pPr>
      <w:r>
        <w:rPr>
          <w:rFonts w:ascii="Calibri" w:hAnsi="Calibri"/>
          <w:b/>
          <w:color w:val="3B4259"/>
          <w:sz w:val="24"/>
        </w:rPr>
        <w:t>Ares Management (ARES) — Q2 2026 Earnings Call (July 30–31, 2026)</w:t>
      </w:r>
    </w:p>
    <w:p>
      <w:r>
        <w:rPr>
          <w:rFonts w:ascii="Calibri" w:hAnsi="Calibri"/>
          <w:b/>
          <w:color w:val="30A46C"/>
          <w:sz w:val="22"/>
        </w:rPr>
        <w:t>Positive Read-Throughs for APO:</w:t>
      </w:r>
    </w:p>
    <w:p>
      <w:pPr>
        <w:pStyle w:val="ListBullet"/>
        <w:ind w:left="360" w:hanging="360"/>
      </w:pPr>
      <w:r>
        <w:rPr>
          <w:rFonts w:ascii="Calibri" w:hAnsi="Calibri"/>
          <w:b/>
          <w:color w:val="525866"/>
          <w:sz w:val="22"/>
        </w:rPr>
        <w:t xml:space="preserve">Record Q2 Fundraising ($36B+ Gross, Highest in Ares History). </w:t>
      </w:r>
      <w:r>
        <w:rPr>
          <w:rFonts w:ascii="Calibri" w:hAnsi="Calibri"/>
          <w:color w:val="525866"/>
          <w:sz w:val="22"/>
        </w:rPr>
        <w:t>Ares raised approximately $36B in Q2 2026, the highest quarter of fundraising in its history, bringing H1 2026 total to ~$66B. Ares remains on track for another record year of fundraising. Approximately 70% of capital raised in 2026 came from outside the four largest credit fund families, demonstrating broad-based demand. This is a strong positive read-through for Apollo’s institutional fundraising.</w:t>
      </w:r>
    </w:p>
    <w:p>
      <w:pPr>
        <w:pStyle w:val="ListBullet"/>
        <w:ind w:left="360" w:hanging="360"/>
      </w:pPr>
      <w:r>
        <w:rPr>
          <w:rFonts w:ascii="Calibri" w:hAnsi="Calibri"/>
          <w:b/>
          <w:color w:val="525866"/>
          <w:sz w:val="22"/>
        </w:rPr>
        <w:t xml:space="preserve">FRE Margin +100 bps YoY; ~40 bps Above Plan. </w:t>
      </w:r>
      <w:r>
        <w:rPr>
          <w:rFonts w:ascii="Calibri" w:hAnsi="Calibri"/>
          <w:color w:val="525866"/>
          <w:sz w:val="22"/>
        </w:rPr>
        <w:t>Ares reported FRE margin expansion of 100 bps YoY in Q2, coming in approximately 40 bps above plan. This validates the operating leverage thesis for large alternative asset managers and is a positive read-through for Apollo’s FRE margin trajectory (management guided to ~100 bps annual FRE margin expansion).</w:t>
      </w:r>
    </w:p>
    <w:p>
      <w:pPr>
        <w:pStyle w:val="ListBullet"/>
        <w:ind w:left="360" w:hanging="360"/>
      </w:pPr>
      <w:r>
        <w:rPr>
          <w:rFonts w:ascii="Calibri" w:hAnsi="Calibri"/>
          <w:b/>
          <w:color w:val="525866"/>
          <w:sz w:val="22"/>
        </w:rPr>
        <w:t xml:space="preserve">Direct Lending Credit Quality Remains Strong. </w:t>
      </w:r>
      <w:r>
        <w:rPr>
          <w:rFonts w:ascii="Calibri" w:hAnsi="Calibri"/>
          <w:color w:val="525866"/>
          <w:sz w:val="22"/>
        </w:rPr>
        <w:t>Ares reported non-accrual levels flat QoQ at less than 2% in U.S. direct lending, with 9% YoY organic EBITDA growth from portfolio companies. Ares stated: “We’re not seeing any signs of a turn in the credit cycle.” This is a positive read-through for Apollo’s direct lending credit quality.</w:t>
      </w:r>
    </w:p>
    <w:p>
      <w:pPr>
        <w:pStyle w:val="ListBullet"/>
        <w:ind w:left="360" w:hanging="360"/>
      </w:pPr>
      <w:r>
        <w:rPr>
          <w:rFonts w:ascii="Calibri" w:hAnsi="Calibri"/>
          <w:b/>
          <w:color w:val="525866"/>
          <w:sz w:val="22"/>
        </w:rPr>
        <w:t xml:space="preserve">Non-Traded BDC Redemptions Declining; U.S. Core Investor Redemptions Down 35% QoQ. </w:t>
      </w:r>
      <w:r>
        <w:rPr>
          <w:rFonts w:ascii="Calibri" w:hAnsi="Calibri"/>
          <w:color w:val="525866"/>
          <w:sz w:val="22"/>
        </w:rPr>
        <w:t>Ares reported that U.S. core individual investor redemption requests totaled only ~2.5% of NAV and declined ~35% QoQ. Ares expects to “get back to stasis in the next 2–3 quarters.” This is a constructive read-through for Apollo’s ADS BDC redemption trajectory.</w:t>
      </w:r>
    </w:p>
    <w:p>
      <w:pPr>
        <w:pStyle w:val="ListBullet"/>
        <w:ind w:left="360" w:hanging="360"/>
      </w:pPr>
      <w:r>
        <w:rPr>
          <w:rFonts w:ascii="Calibri" w:hAnsi="Calibri"/>
          <w:b/>
          <w:color w:val="525866"/>
          <w:sz w:val="22"/>
        </w:rPr>
        <w:t xml:space="preserve">Deployment +33% YoY to $36B; Forward Pipeline at Record. </w:t>
      </w:r>
      <w:r>
        <w:rPr>
          <w:rFonts w:ascii="Calibri" w:hAnsi="Calibri"/>
          <w:color w:val="525866"/>
          <w:sz w:val="22"/>
        </w:rPr>
        <w:t>Ares’ overall investment activity increased to ~$36B in Q2 (vs. ~$27B in Q2 2025), with the firm-wide forward pipeline improving nearly 20% QoQ to a new record. NDAs signed up 35% QoQ, signaling accelerating M&amp;A activity in H2. This is a positive read-through for Apollo’s origination and ACS fee pipeline.</w:t>
      </w:r>
    </w:p>
    <w:p>
      <w:pPr>
        <w:pStyle w:val="ListBullet"/>
        <w:ind w:left="360" w:hanging="360"/>
      </w:pPr>
      <w:r>
        <w:rPr>
          <w:rFonts w:ascii="Calibri" w:hAnsi="Calibri"/>
          <w:b/>
          <w:color w:val="525866"/>
          <w:sz w:val="22"/>
        </w:rPr>
        <w:t xml:space="preserve">Insurance AUM +54% YoY; ~$2B of Growth in Q2. </w:t>
      </w:r>
      <w:r>
        <w:rPr>
          <w:rFonts w:ascii="Calibri" w:hAnsi="Calibri"/>
          <w:color w:val="525866"/>
          <w:sz w:val="22"/>
        </w:rPr>
        <w:t>Ares’ Insurance Solutions AUM grew 54% YoY, with ~$2B of growth in Q2 across annuities and reinsurance channels. This validates the structural growth of the insurance channel for alternative asset managers, directly benefiting Apollo’s Athene business.</w:t>
      </w:r>
    </w:p>
    <w:p>
      <w:r>
        <w:rPr>
          <w:rFonts w:ascii="Calibri" w:hAnsi="Calibri"/>
          <w:b/>
          <w:color w:val="E5484D"/>
          <w:sz w:val="22"/>
        </w:rPr>
        <w:t>Risk Read-Throughs for APO:</w:t>
      </w:r>
    </w:p>
    <w:p>
      <w:pPr>
        <w:pStyle w:val="ListBullet"/>
        <w:ind w:left="360" w:hanging="360"/>
      </w:pPr>
      <w:r>
        <w:rPr>
          <w:rFonts w:ascii="Calibri" w:hAnsi="Calibri"/>
          <w:b/>
          <w:color w:val="525866"/>
          <w:sz w:val="22"/>
        </w:rPr>
        <w:t xml:space="preserve">Non-Traded BDC Redemption Queue Concentrated in APAC Family Offices. </w:t>
      </w:r>
      <w:r>
        <w:rPr>
          <w:rFonts w:ascii="Calibri" w:hAnsi="Calibri"/>
          <w:color w:val="525866"/>
          <w:sz w:val="22"/>
        </w:rPr>
        <w:t>Ares noted that the redemption queue in U.S. private credit funds is “largely concentrated in the hands of family offices and small institutions in the APAC region,” though this number has been cut in half over the last two quarters. This suggests the redemption issue is narrowing but not fully resolved, a relevant read-through for Apollo’s ADS BDC.</w:t>
      </w:r>
    </w:p>
    <w:p>
      <w:pPr>
        <w:pStyle w:val="Heading3"/>
      </w:pPr>
      <w:r>
        <w:rPr>
          <w:rFonts w:ascii="Calibri" w:hAnsi="Calibri"/>
          <w:b/>
          <w:color w:val="3B4259"/>
          <w:sz w:val="24"/>
        </w:rPr>
        <w:t>Blue Owl Capital (OWL) — Q2 2026 Earnings Call (July 30, 2026)</w:t>
      </w:r>
    </w:p>
    <w:p>
      <w:r>
        <w:rPr>
          <w:rFonts w:ascii="Calibri" w:hAnsi="Calibri"/>
          <w:b/>
          <w:color w:val="30A46C"/>
          <w:sz w:val="22"/>
        </w:rPr>
        <w:t>Positive Read-Throughs for APO:</w:t>
      </w:r>
    </w:p>
    <w:p>
      <w:pPr>
        <w:pStyle w:val="ListBullet"/>
        <w:ind w:left="360" w:hanging="360"/>
      </w:pPr>
      <w:r>
        <w:rPr>
          <w:rFonts w:ascii="Calibri" w:hAnsi="Calibri"/>
          <w:b/>
          <w:color w:val="525866"/>
          <w:sz w:val="22"/>
        </w:rPr>
        <w:t xml:space="preserve">Evergreen Inflows Bottomed; July 1 Close +50% vs. May 1 Close. </w:t>
      </w:r>
      <w:r>
        <w:rPr>
          <w:rFonts w:ascii="Calibri" w:hAnsi="Calibri"/>
          <w:color w:val="525866"/>
          <w:sz w:val="22"/>
        </w:rPr>
        <w:t>Blue Owl stated it believes it has “seen a bottoming of evergreen inflows in the May 1st close,” with the July 1 close showing a greater than 50% increase in evergreen inflows vs. the May 1 close. CFO Alan Kirshenbaum stated: “we think we’ve troughed by way of inflows.” This is a constructive read-through for Apollo’s retail distribution channels.</w:t>
      </w:r>
    </w:p>
    <w:p>
      <w:pPr>
        <w:pStyle w:val="ListBullet"/>
        <w:ind w:left="360" w:hanging="360"/>
      </w:pPr>
      <w:r>
        <w:rPr>
          <w:rFonts w:ascii="Calibri" w:hAnsi="Calibri"/>
          <w:b/>
          <w:color w:val="525866"/>
          <w:sz w:val="22"/>
        </w:rPr>
        <w:t xml:space="preserve">Institutional Flows +30% YoY; Three Quarters of Q2 Capital from Institutions/Insurance. </w:t>
      </w:r>
      <w:r>
        <w:rPr>
          <w:rFonts w:ascii="Calibri" w:hAnsi="Calibri"/>
          <w:color w:val="525866"/>
          <w:sz w:val="22"/>
        </w:rPr>
        <w:t>Institutional and insurance investors comprised ~75% of Blue Owl’s Q2 equity capital raised, with institutional flows more than 30% higher YoY. This confirms the institutional demand environment that supports Apollo’s fundraising across credit, infrastructure, and equity strategies.</w:t>
      </w:r>
    </w:p>
    <w:p>
      <w:pPr>
        <w:pStyle w:val="ListBullet"/>
        <w:ind w:left="360" w:hanging="360"/>
      </w:pPr>
      <w:r>
        <w:rPr>
          <w:rFonts w:ascii="Calibri" w:hAnsi="Calibri"/>
          <w:b/>
          <w:color w:val="525866"/>
          <w:sz w:val="22"/>
        </w:rPr>
        <w:t xml:space="preserve">Direct Lending Credit Health Strong; 12 bps Average Annual Loss Rate. </w:t>
      </w:r>
      <w:r>
        <w:rPr>
          <w:rFonts w:ascii="Calibri" w:hAnsi="Calibri"/>
          <w:color w:val="525866"/>
          <w:sz w:val="22"/>
        </w:rPr>
        <w:t>Blue Owl reported “no meaningful change in our watch list compared to a year ago” and a 12 bps average annual loss rate in its technology lending book (with a net gain). This is a positive read-through for Apollo’s direct lending credit quality.</w:t>
      </w:r>
    </w:p>
    <w:p>
      <w:pPr>
        <w:pStyle w:val="ListBullet"/>
        <w:ind w:left="360" w:hanging="360"/>
      </w:pPr>
      <w:r>
        <w:rPr>
          <w:rFonts w:ascii="Calibri" w:hAnsi="Calibri"/>
          <w:b/>
          <w:color w:val="525866"/>
          <w:sz w:val="22"/>
        </w:rPr>
        <w:t xml:space="preserve">Digital Infrastructure Pipeline: $160B of Near-Term Opportunities. </w:t>
      </w:r>
      <w:r>
        <w:rPr>
          <w:rFonts w:ascii="Calibri" w:hAnsi="Calibri"/>
          <w:color w:val="525866"/>
          <w:sz w:val="22"/>
        </w:rPr>
        <w:t>Blue Owl reported nearly $160B of near-term opportunities across net lease and digital infrastructure, with Net Lease Fund 6 fully committed and expected to be virtually fully called by year-end. This validates the scale of the AI infrastructure investment opportunity that Apollo is targeting through HECS.</w:t>
      </w:r>
    </w:p>
    <w:p>
      <w:r>
        <w:rPr>
          <w:rFonts w:ascii="Calibri" w:hAnsi="Calibri"/>
          <w:b/>
          <w:color w:val="E5484D"/>
          <w:sz w:val="22"/>
        </w:rPr>
        <w:t>Risk Read-Throughs for APO:</w:t>
      </w:r>
    </w:p>
    <w:p>
      <w:pPr>
        <w:pStyle w:val="ListBullet"/>
        <w:ind w:left="360" w:hanging="360"/>
      </w:pPr>
      <w:r>
        <w:rPr>
          <w:rFonts w:ascii="Calibri" w:hAnsi="Calibri"/>
          <w:b/>
          <w:color w:val="525866"/>
          <w:sz w:val="22"/>
        </w:rPr>
        <w:t xml:space="preserve">Credit Outflows Persist; Private Wealth Inflows Down to $1.7B from $4.4B YoY. </w:t>
      </w:r>
      <w:r>
        <w:rPr>
          <w:rFonts w:ascii="Calibri" w:hAnsi="Calibri"/>
          <w:color w:val="525866"/>
          <w:sz w:val="22"/>
        </w:rPr>
        <w:t>Blue Owl suffered credit outflows in Q2 as wealthy investors pulled back, with private wealth inflows falling to $1.7B from $4.4B a year ago. Total capital raised was $7.6B vs. $12.1B a year earlier. While the CFO characterized this as a trough, the magnitude of the decline is a near-term headwind read-through for Apollo’s retail private credit distribution.</w:t>
      </w:r>
    </w:p>
    <w:p>
      <w:pPr>
        <w:pStyle w:val="ListBullet"/>
        <w:ind w:left="360" w:hanging="360"/>
      </w:pPr>
      <w:r>
        <w:rPr>
          <w:rFonts w:ascii="Calibri" w:hAnsi="Calibri"/>
          <w:b/>
          <w:color w:val="525866"/>
          <w:sz w:val="22"/>
        </w:rPr>
        <w:t xml:space="preserve">Direct Lending Running at ‘Roughly Net Zero Deployments.’ </w:t>
      </w:r>
      <w:r>
        <w:rPr>
          <w:rFonts w:ascii="Calibri" w:hAnsi="Calibri"/>
          <w:color w:val="525866"/>
          <w:sz w:val="22"/>
        </w:rPr>
        <w:t>Blue Owl noted it is “running at roughly net zero deployments” in direct lending, consistent with an industry backdrop of moderate sponsor-driven M&amp;A activity. This suggests direct lending deployment remains measured, which could weigh on Apollo’s direct lending ACS fees.</w:t>
      </w:r>
    </w:p>
    <w:p>
      <w:pPr>
        <w:pStyle w:val="Heading3"/>
      </w:pPr>
      <w:r>
        <w:rPr>
          <w:rFonts w:ascii="Calibri" w:hAnsi="Calibri"/>
          <w:b/>
          <w:color w:val="3B4259"/>
          <w:sz w:val="24"/>
        </w:rPr>
        <w:t>Athene Fixed Income Investor Call (May 15, 2026) — Post-Q1 Management Commentary on Q2 Conditions</w:t>
      </w:r>
    </w:p>
    <w:p>
      <w:r>
        <w:rPr>
          <w:rFonts w:ascii="Calibri" w:hAnsi="Calibri"/>
          <w:b/>
          <w:color w:val="30A46C"/>
          <w:sz w:val="22"/>
        </w:rPr>
        <w:t>Positive Read-Throughs for APO:</w:t>
      </w:r>
    </w:p>
    <w:p>
      <w:pPr>
        <w:pStyle w:val="ListBullet"/>
        <w:ind w:left="360" w:hanging="360"/>
      </w:pPr>
      <w:r>
        <w:rPr>
          <w:rFonts w:ascii="Calibri" w:hAnsi="Calibri"/>
          <w:b/>
          <w:color w:val="525866"/>
          <w:sz w:val="22"/>
        </w:rPr>
        <w:t xml:space="preserve">April Retail: $3.7B; Rate Continuing in May. </w:t>
      </w:r>
      <w:r>
        <w:rPr>
          <w:rFonts w:ascii="Calibri" w:hAnsi="Calibri"/>
          <w:color w:val="525866"/>
          <w:sz w:val="22"/>
        </w:rPr>
        <w:t>Athene management confirmed $3.7B in April retail business, with the rate continuing into May, and $2.6B in flow reinsurance, leading to an expectation of a “strong flow reinsurance quarter.” This is a direct positive read-through for Q2 Athene inflows and SRE.</w:t>
      </w:r>
    </w:p>
    <w:p>
      <w:pPr>
        <w:pStyle w:val="ListBullet"/>
        <w:ind w:left="360" w:hanging="360"/>
      </w:pPr>
      <w:r>
        <w:rPr>
          <w:rFonts w:ascii="Calibri" w:hAnsi="Calibri"/>
          <w:b/>
          <w:color w:val="525866"/>
          <w:sz w:val="22"/>
        </w:rPr>
        <w:t xml:space="preserve">Competitive Environment ‘Eased Somewhat’ vs. Q1. </w:t>
      </w:r>
      <w:r>
        <w:rPr>
          <w:rFonts w:ascii="Calibri" w:hAnsi="Calibri"/>
          <w:color w:val="525866"/>
          <w:sz w:val="22"/>
        </w:rPr>
        <w:t>Management noted that the “irrational competition” seen in Q1 (people putting business on the books at “ridiculously low spreads”) “has eased somewhat and we had a stronger April.” This is a positive read-through for Athene’s net spread trajectory in Q2.</w:t>
      </w:r>
    </w:p>
    <w:p>
      <w:pPr>
        <w:pStyle w:val="ListBullet"/>
        <w:ind w:left="360" w:hanging="360"/>
      </w:pPr>
      <w:r>
        <w:rPr>
          <w:rFonts w:ascii="Calibri" w:hAnsi="Calibri"/>
          <w:b/>
          <w:color w:val="525866"/>
          <w:sz w:val="22"/>
        </w:rPr>
        <w:t xml:space="preserve">RILA Volume Up 75% Over Prior Year Run Rate. </w:t>
      </w:r>
      <w:r>
        <w:rPr>
          <w:rFonts w:ascii="Calibri" w:hAnsi="Calibri"/>
          <w:color w:val="525866"/>
          <w:sz w:val="22"/>
        </w:rPr>
        <w:t>Athene’s RILA (Registered Index-Linked Annuity) product version 3.0 received strong distribution feedback, with Q1 RILA volume up 75% over the prior year run rate. This is a positive read-through for Athene’s new markets growth in Q2.</w:t>
      </w:r>
    </w:p>
    <w:p>
      <w:r>
        <w:rPr>
          <w:rFonts w:ascii="Calibri" w:hAnsi="Calibri"/>
          <w:b/>
          <w:color w:val="E5484D"/>
          <w:sz w:val="22"/>
        </w:rPr>
        <w:t>Risk Read-Throughs for APO:</w:t>
      </w:r>
    </w:p>
    <w:p>
      <w:pPr>
        <w:pStyle w:val="ListBullet"/>
        <w:ind w:left="360" w:hanging="360"/>
      </w:pPr>
      <w:r>
        <w:rPr>
          <w:rFonts w:ascii="Calibri" w:hAnsi="Calibri"/>
          <w:b/>
          <w:color w:val="525866"/>
          <w:sz w:val="22"/>
        </w:rPr>
        <w:t xml:space="preserve">PRT Market Calendar ‘Very Light’ for Q2 and Remainder of Year. </w:t>
      </w:r>
      <w:r>
        <w:rPr>
          <w:rFonts w:ascii="Calibri" w:hAnsi="Calibri"/>
          <w:color w:val="525866"/>
          <w:sz w:val="22"/>
        </w:rPr>
        <w:t>Athene management noted the Pension Risk Transfer (PRT) market has a “very light calendar” for Q2 and the balance of the year, with pricing on completed transactions remaining “very tight.” This is a headwind for Athene’s institutional liability origination in Q2.</w:t>
      </w:r>
    </w:p>
    <w:p>
      <w:pPr>
        <w:pStyle w:val="ListBullet"/>
        <w:ind w:left="360" w:hanging="360"/>
      </w:pPr>
      <w:r>
        <w:rPr>
          <w:rFonts w:ascii="Calibri" w:hAnsi="Calibri"/>
          <w:b/>
          <w:color w:val="525866"/>
          <w:sz w:val="22"/>
        </w:rPr>
        <w:t xml:space="preserve">Intel Deal Called in April — Gain Excluded from SRE. </w:t>
      </w:r>
      <w:r>
        <w:rPr>
          <w:rFonts w:ascii="Calibri" w:hAnsi="Calibri"/>
          <w:color w:val="525866"/>
          <w:sz w:val="22"/>
        </w:rPr>
        <w:t>The $11B Intel semiconductor facility financing (Athene held $4.8B at 6.5%) was called in April. While Athene will recognize a gain, this gain is excluded from SRE (realized gains/losses are excluded from the non-GAAP measure). The repayment creates reinvestment risk at potentially lower spreads.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two open-market sales were identified since the Q1 earnings date — both discretionary (not 10b5-1 planned) — with Co-President John Zito selling ~$6.4M in shares and CFO Martin Kelly selling ~$0.9M; the Zito sale is notable given its size (48,644 shares) but occurred shortly after the Q1 print when the stock was near recent highs (~$131–$135), and no open-market buys were filed, which is a neutral-to-slightly-cautious signal but not alarming given the absence of clustered buying.</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John P. Zito</w:t>
            </w:r>
          </w:p>
        </w:tc>
        <w:tc>
          <w:tcPr>
            <w:tcW w:type="dxa" w:w="1234"/>
          </w:tcPr>
          <w:p>
            <w:r>
              <w:rPr>
                <w:rFonts w:ascii="Calibri" w:hAnsi="Calibri"/>
                <w:sz w:val="22"/>
              </w:rPr>
              <w:t>Co-President</w:t>
            </w:r>
          </w:p>
        </w:tc>
        <w:tc>
          <w:tcPr>
            <w:tcW w:type="dxa" w:w="1234"/>
          </w:tcPr>
          <w:p>
            <w:r>
              <w:rPr>
                <w:rFonts w:ascii="Calibri" w:hAnsi="Calibri"/>
                <w:sz w:val="22"/>
              </w:rPr>
              <w:t>Open Market Sale</w:t>
            </w:r>
          </w:p>
        </w:tc>
        <w:tc>
          <w:tcPr>
            <w:tcW w:type="dxa" w:w="1234"/>
          </w:tcPr>
          <w:p>
            <w:r>
              <w:rPr>
                <w:rFonts w:ascii="Calibri" w:hAnsi="Calibri"/>
                <w:sz w:val="22"/>
              </w:rPr>
              <w:t>48,644</w:t>
            </w:r>
          </w:p>
        </w:tc>
        <w:tc>
          <w:tcPr>
            <w:tcW w:type="dxa" w:w="1234"/>
          </w:tcPr>
          <w:p>
            <w:r>
              <w:rPr>
                <w:rFonts w:ascii="Calibri" w:hAnsi="Calibri"/>
                <w:sz w:val="22"/>
              </w:rPr>
              <w:t>~$6.4M</w:t>
            </w:r>
          </w:p>
        </w:tc>
        <w:tc>
          <w:tcPr>
            <w:tcW w:type="dxa" w:w="1234"/>
          </w:tcPr>
          <w:p>
            <w:r>
              <w:rPr>
                <w:rFonts w:ascii="Calibri" w:hAnsi="Calibri"/>
                <w:sz w:val="22"/>
              </w:rPr>
              <w:t>May 27, 2026</w:t>
            </w:r>
          </w:p>
        </w:tc>
        <w:tc>
          <w:tcPr>
            <w:tcW w:type="dxa" w:w="1234"/>
          </w:tcPr>
          <w:p>
            <w:r>
              <w:rPr>
                <w:rFonts w:ascii="Calibri" w:hAnsi="Calibri"/>
                <w:sz w:val="22"/>
              </w:rPr>
              <w:t>Discretionary; sold at ~$131–$133 range (near post-Q1 highs); retained 3,063,696 shares after sale (~94% of prior holdings). Not on a 10b5-1 plan.</w:t>
            </w:r>
          </w:p>
        </w:tc>
      </w:tr>
      <w:tr>
        <w:tc>
          <w:tcPr>
            <w:tcW w:type="dxa" w:w="1234"/>
          </w:tcPr>
          <w:p>
            <w:r>
              <w:rPr>
                <w:rFonts w:ascii="Calibri" w:hAnsi="Calibri"/>
                <w:sz w:val="22"/>
              </w:rPr>
              <w:t>Martin Kelly</w:t>
            </w:r>
          </w:p>
        </w:tc>
        <w:tc>
          <w:tcPr>
            <w:tcW w:type="dxa" w:w="1234"/>
          </w:tcPr>
          <w:p>
            <w:r>
              <w:rPr>
                <w:rFonts w:ascii="Calibri" w:hAnsi="Calibri"/>
                <w:sz w:val="22"/>
              </w:rPr>
              <w:t>Chief Financial Officer</w:t>
            </w:r>
          </w:p>
        </w:tc>
        <w:tc>
          <w:tcPr>
            <w:tcW w:type="dxa" w:w="1234"/>
          </w:tcPr>
          <w:p>
            <w:r>
              <w:rPr>
                <w:rFonts w:ascii="Calibri" w:hAnsi="Calibri"/>
                <w:sz w:val="22"/>
              </w:rPr>
              <w:t>Open Market Sale</w:t>
            </w:r>
          </w:p>
        </w:tc>
        <w:tc>
          <w:tcPr>
            <w:tcW w:type="dxa" w:w="1234"/>
          </w:tcPr>
          <w:p>
            <w:r>
              <w:rPr>
                <w:rFonts w:ascii="Calibri" w:hAnsi="Calibri"/>
                <w:sz w:val="22"/>
              </w:rPr>
              <w:t>7,000</w:t>
            </w:r>
          </w:p>
        </w:tc>
        <w:tc>
          <w:tcPr>
            <w:tcW w:type="dxa" w:w="1234"/>
          </w:tcPr>
          <w:p>
            <w:r>
              <w:rPr>
                <w:rFonts w:ascii="Calibri" w:hAnsi="Calibri"/>
                <w:sz w:val="22"/>
              </w:rPr>
              <w:t>~$0.9M</w:t>
            </w:r>
          </w:p>
        </w:tc>
        <w:tc>
          <w:tcPr>
            <w:tcW w:type="dxa" w:w="1234"/>
          </w:tcPr>
          <w:p>
            <w:r>
              <w:rPr>
                <w:rFonts w:ascii="Calibri" w:hAnsi="Calibri"/>
                <w:sz w:val="22"/>
              </w:rPr>
              <w:t>May 14, 2026</w:t>
            </w:r>
          </w:p>
        </w:tc>
        <w:tc>
          <w:tcPr>
            <w:tcW w:type="dxa" w:w="1234"/>
          </w:tcPr>
          <w:p>
            <w:r>
              <w:rPr>
                <w:rFonts w:ascii="Calibri" w:hAnsi="Calibri"/>
                <w:sz w:val="22"/>
              </w:rPr>
              <w:t>Discretionary; sold at ~$131–$135 range; retained 401,222 shares after sale. Not on a 10b5-1 plan.</w:t>
            </w:r>
          </w:p>
        </w:tc>
      </w:tr>
    </w:tbl>
    <w:p>
      <w:r>
        <w:rPr>
          <w:rFonts w:ascii="Calibri" w:hAnsi="Calibri"/>
          <w:color w:val="525866"/>
          <w:sz w:val="22"/>
        </w:rPr>
        <w:t>No open-market buys were filed by APO insiders since the Q1 2026 earnings date. Both sales were discretionary (not 10b5-1 planned), occurred within three weeks of the Q1 print at prices near recent highs, and represent a small fraction of total holdings (Zito retained ~94% of his position). The absence of insider buying is a neutral signal; the discretionary nature of the sales warrants monitoring but is not unusual for senior executives managing concentration risk.</w:t>
      </w:r>
    </w:p>
    <w:p>
      <w:r>
        <w:rPr>
          <w:rFonts w:ascii="Calibri" w:hAnsi="Calibri"/>
          <w:i/>
          <w:color w:val="525866"/>
          <w:sz w:val="22"/>
        </w:rPr>
        <w:t>Source: Insider Transaction Data (SEC Form 4 Filings Database).</w:t>
      </w:r>
    </w:p>
    <w:p>
      <w:r>
        <w:br w:type="page"/>
      </w:r>
    </w:p>
    <w:p>
      <w:pPr>
        <w:pStyle w:val="Heading2"/>
      </w:pPr>
      <w:r>
        <w:rPr>
          <w:rFonts w:ascii="Calibri" w:hAnsi="Calibri"/>
          <w:b/>
          <w:color w:val="3B4259"/>
          <w:sz w:val="28"/>
        </w:rPr>
        <w:t>9. Key Questions for the Call</w:t>
      </w:r>
    </w:p>
    <w:p>
      <w:pPr>
        <w:pStyle w:val="ListNumber"/>
        <w:ind w:left="360" w:hanging="360"/>
      </w:pPr>
      <w:r>
        <w:rPr>
          <w:rFonts w:ascii="Calibri" w:hAnsi="Calibri"/>
          <w:color w:val="525866"/>
          <w:sz w:val="22"/>
        </w:rPr>
        <w:t>Q2 Origination: Did you approach or exceed the record $97B quarter? What was the mix between investment-grade and sub-investment-grade, and how did spreads compare to Q1’s 350 bps over Treasuries / 290 bps over comparably rated corporates?</w:t>
      </w:r>
    </w:p>
    <w:p>
      <w:pPr>
        <w:pStyle w:val="ListNumber"/>
        <w:ind w:left="360" w:hanging="360"/>
      </w:pPr>
      <w:r>
        <w:rPr>
          <w:rFonts w:ascii="Calibri" w:hAnsi="Calibri"/>
          <w:color w:val="525866"/>
          <w:sz w:val="22"/>
        </w:rPr>
        <w:t>ACS Fees: Q1 was $246M (fourth consecutive quarter above $200M). Given the Broadcom AI XPV Platform ($35B) and other large transactions, where did Q2 ACS fees land, and what is the pipeline visibility for Q3?</w:t>
      </w:r>
    </w:p>
    <w:p>
      <w:pPr>
        <w:pStyle w:val="ListNumber"/>
        <w:ind w:left="360" w:hanging="360"/>
      </w:pPr>
      <w:r>
        <w:rPr>
          <w:rFonts w:ascii="Calibri" w:hAnsi="Calibri"/>
          <w:color w:val="525866"/>
          <w:sz w:val="22"/>
        </w:rPr>
        <w:t>SRE and Net Spread: The July 1 pre-announcement implied ~9% alts return vs. the 11% full-year assumption. What drove the gap (pooled vehicle at ~10% vs. other alts at ~6%), and are you still comfortable with the 120–125 bps full-year net spread guidance?</w:t>
      </w:r>
    </w:p>
    <w:p>
      <w:pPr>
        <w:pStyle w:val="ListNumber"/>
        <w:ind w:left="360" w:hanging="360"/>
      </w:pPr>
      <w:r>
        <w:rPr>
          <w:rFonts w:ascii="Calibri" w:hAnsi="Calibri"/>
          <w:color w:val="525866"/>
          <w:sz w:val="22"/>
        </w:rPr>
        <w:t>Athene Inflows: April retail was $3.7B and flow reinsurance was strong. How did Q2 total Athene inflows compare to Q1’s $20B organic, and how is the new markets business ($5B+ target for 2026) tracking?</w:t>
      </w:r>
    </w:p>
    <w:p>
      <w:pPr>
        <w:pStyle w:val="ListNumber"/>
        <w:ind w:left="360" w:hanging="360"/>
      </w:pPr>
      <w:r>
        <w:rPr>
          <w:rFonts w:ascii="Calibri" w:hAnsi="Calibri"/>
          <w:color w:val="525866"/>
          <w:sz w:val="22"/>
        </w:rPr>
        <w:t>ADS BDC Redemptions: Management expected elevated redemptions to persist for multiple quarters. Did Q2 redemption requests increase, decrease, or stabilize? What is the current redemption queue as a percentage of NAV?</w:t>
      </w:r>
    </w:p>
    <w:p>
      <w:pPr>
        <w:pStyle w:val="ListNumber"/>
        <w:ind w:left="360" w:hanging="360"/>
      </w:pPr>
      <w:r>
        <w:rPr>
          <w:rFonts w:ascii="Calibri" w:hAnsi="Calibri"/>
          <w:color w:val="525866"/>
          <w:sz w:val="22"/>
        </w:rPr>
        <w:t>easyJet Bid: Apollo must announce a firm intention or walk away by August 7. Can you provide any color on the strategic rationale and how this fits within the balance sheet deployment framework?</w:t>
      </w:r>
    </w:p>
    <w:p>
      <w:pPr>
        <w:pStyle w:val="ListNumber"/>
        <w:ind w:left="360" w:hanging="360"/>
      </w:pPr>
      <w:r>
        <w:rPr>
          <w:rFonts w:ascii="Calibri" w:hAnsi="Calibri"/>
          <w:color w:val="525866"/>
          <w:sz w:val="22"/>
        </w:rPr>
        <w:t>Daily Pricing Initiative: The June 30 deadline for daily pricing on IG corporate credit has passed. Did you achieve full implementation? What is the timeline for non-IG direct lending (previously guided to “somewhat beyond September 30”)?</w:t>
      </w:r>
    </w:p>
    <w:p>
      <w:pPr>
        <w:pStyle w:val="ListNumber"/>
        <w:ind w:left="360" w:hanging="360"/>
      </w:pPr>
      <w:r>
        <w:rPr>
          <w:rFonts w:ascii="Calibri" w:hAnsi="Calibri"/>
          <w:color w:val="525866"/>
          <w:sz w:val="22"/>
        </w:rPr>
        <w:t>FY2026 Guidance: Are you reaffirming 20%+ FRE growth and 10% SRE growth? Given Q1 alts at 6% and Q2 at ~9%, what alts return is needed in H2 to hit the 11% full-year assumption, and how confident are you in achieving it?</w:t>
      </w:r>
    </w:p>
    <w:p>
      <w:pPr>
        <w:pStyle w:val="ListNumber"/>
        <w:ind w:left="360" w:hanging="360"/>
      </w:pPr>
      <w:r>
        <w:rPr>
          <w:rFonts w:ascii="Calibri" w:hAnsi="Calibri"/>
          <w:color w:val="525866"/>
          <w:sz w:val="22"/>
        </w:rPr>
        <w:t>Capital Formation: Q1 included $65B from the Athora PIC acquisition. What was Q2 organic inflow composition across Asset Management and Athene, and how is the institutional vs. wealth channel mix evolving?</w:t>
      </w:r>
    </w:p>
    <w:p>
      <w:pPr>
        <w:pStyle w:val="ListNumber"/>
        <w:ind w:left="360" w:hanging="360"/>
      </w:pPr>
      <w:r>
        <w:rPr>
          <w:rFonts w:ascii="Calibri" w:hAnsi="Calibri"/>
          <w:color w:val="525866"/>
          <w:sz w:val="22"/>
        </w:rPr>
        <w:t>Macro and Defensive Posture: You flagged elevated tail-risk probability at Q1. Has your macro view changed, and how is the defensive posture at Athene (holding ~$40B in cash/Treasuries) affecting near-term SRE?</w:t>
      </w:r>
    </w:p>
    <w:p>
      <w:r>
        <w:br w:type="page"/>
      </w:r>
    </w:p>
    <w:p>
      <w:pPr>
        <w:pStyle w:val="Heading2"/>
      </w:pPr>
      <w:r>
        <w:rPr>
          <w:rFonts w:ascii="Calibri" w:hAnsi="Calibri"/>
          <w:b/>
          <w:color w:val="3B4259"/>
          <w:sz w:val="28"/>
        </w:rPr>
        <w:t>Appendix: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FRE, SRE, Distributable EPS – Operating, End-of-Period AUM, Gross Capital Deployment (quarterly actuals and consensus; revision history May 8 – August 3, 2026; as-of-date baseline May 13, 2026).</w:t>
      </w:r>
    </w:p>
    <w:p>
      <w:pPr>
        <w:pStyle w:val="ListBullet"/>
        <w:ind w:left="360" w:hanging="360"/>
      </w:pPr>
      <w:r>
        <w:rPr>
          <w:rFonts w:ascii="Calibri" w:hAnsi="Calibri"/>
          <w:b/>
          <w:color w:val="525866"/>
          <w:sz w:val="22"/>
        </w:rPr>
        <w:t>Apollo Global Management SEC Filings</w:t>
      </w:r>
      <w:r>
        <w:rPr>
          <w:rFonts w:ascii="Calibri" w:hAnsi="Calibri"/>
          <w:color w:val="525866"/>
          <w:sz w:val="22"/>
        </w:rPr>
        <w:t xml:space="preserve"> — Q1 2026 Earnings Call Transcript (May 6, 2026); Q1 2026 Earnings Release 8-K (May 6, 2026); Q2 2026 Alternative Net Investment Income Pre-Announcement 8-K (July 1, 2026); Athene Portfolio Disclosures 8-K (May 1, 2026).</w:t>
      </w:r>
    </w:p>
    <w:p>
      <w:pPr>
        <w:pStyle w:val="ListBullet"/>
        <w:ind w:left="360" w:hanging="360"/>
      </w:pPr>
      <w:r>
        <w:rPr>
          <w:rFonts w:ascii="Calibri" w:hAnsi="Calibri"/>
          <w:b/>
          <w:color w:val="525866"/>
          <w:sz w:val="22"/>
        </w:rPr>
        <w:t>Athene Fixed Income Investor Call Transcript</w:t>
      </w:r>
      <w:r>
        <w:rPr>
          <w:rFonts w:ascii="Calibri" w:hAnsi="Calibri"/>
          <w:color w:val="525866"/>
          <w:sz w:val="22"/>
        </w:rPr>
        <w:t xml:space="preserve"> (May 15, 2026) — Q2 2026 conditions commentary, retail flow data, portfolio composition.</w:t>
      </w:r>
    </w:p>
    <w:p>
      <w:pPr>
        <w:pStyle w:val="ListBullet"/>
        <w:ind w:left="360" w:hanging="360"/>
      </w:pPr>
      <w:r>
        <w:rPr>
          <w:rFonts w:ascii="Calibri" w:hAnsi="Calibri"/>
          <w:b/>
          <w:color w:val="525866"/>
          <w:sz w:val="22"/>
        </w:rPr>
        <w:t>Peer Earnings Call Transcripts (Q2 2026)</w:t>
      </w:r>
      <w:r>
        <w:rPr>
          <w:rFonts w:ascii="Calibri" w:hAnsi="Calibri"/>
          <w:color w:val="525866"/>
          <w:sz w:val="22"/>
        </w:rPr>
        <w:t xml:space="preserve"> — Blackstone (BX, July 23, 2026); KKR (July 30, 2026); Ares Management (ARES, July 30–31, 2026); Blue Owl Capital (OWL, July 30,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APO, KKR, KIE, SPY daily close prices May 6 – August 3,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Database; APO transactions May 6 – August 3, 2026.</w:t>
      </w:r>
    </w:p>
    <w:p>
      <w:pPr>
        <w:pStyle w:val="ListBullet"/>
        <w:ind w:left="360" w:hanging="360"/>
      </w:pPr>
      <w:r>
        <w:rPr>
          <w:rFonts w:ascii="Calibri" w:hAnsi="Calibri"/>
          <w:b/>
          <w:color w:val="525866"/>
          <w:sz w:val="22"/>
        </w:rPr>
        <w:t>APO Company Knowledge Base</w:t>
      </w:r>
      <w:r>
        <w:rPr>
          <w:rFonts w:ascii="Calibri" w:hAnsi="Calibri"/>
          <w:color w:val="525866"/>
          <w:sz w:val="22"/>
        </w:rPr>
        <w:t xml:space="preserve"> — Summary, Key KPIs, Stock Performance Decomposition (NTM multiples as of August 3, 2026).</w:t>
      </w:r>
    </w:p>
    <w:p>
      <w:pPr>
        <w:pStyle w:val="ListBullet"/>
        <w:ind w:left="360" w:hanging="360"/>
      </w:pPr>
      <w:r>
        <w:rPr>
          <w:rFonts w:ascii="Calibri" w:hAnsi="Calibri"/>
          <w:b/>
          <w:color w:val="525866"/>
          <w:sz w:val="22"/>
        </w:rPr>
        <w:t>Public News Sources</w:t>
      </w:r>
      <w:r>
        <w:rPr>
          <w:rFonts w:ascii="Calibri" w:hAnsi="Calibri"/>
          <w:color w:val="525866"/>
          <w:sz w:val="22"/>
        </w:rPr>
        <w:t xml:space="preserve"> — Reuters, WSJ, Barron’s, Bloomberg (various dates June–August 2026) for material news and developments.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