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7" w:name="applovin-app--q2-2026-earnings-preview"/>
    <w:p>
      <w:pPr>
        <w:pStyle w:val="Heading1"/>
      </w:pPr>
      <w:r>
        <w:t xml:space="preserve">AppLovin (APP) — Q2 2026 Earnings Preview</w:t>
      </w:r>
    </w:p>
    <w:p>
      <w:pPr>
        <w:pStyle w:val="FirstParagraph"/>
      </w:pPr>
      <w:r>
        <w:rPr>
          <w:b/>
          <w:bCs/>
        </w:rPr>
        <w:t xml:space="preserve">Reports: Wednesday, August 5, 2026, after market close | Webcast: 2:00 PM PT / 5:00 PM ET</w:t>
      </w:r>
    </w:p>
    <w:p>
      <w:r>
        <w:pict>
          <v:rect style="width:0;height:1.5pt" o:hralign="center" o:hrstd="t" o:hr="t"/>
        </w:pict>
      </w:r>
    </w:p>
    <w:bookmarkStart w:id="9" w:name="X949bd4f4089bbaccce539b2bd28d75b85935b6a"/>
    <w:p>
      <w:pPr>
        <w:pStyle w:val="Heading2"/>
      </w:pPr>
      <w:r>
        <w:t xml:space="preserve">1. Setup Into the Print</w:t>
      </w:r>
    </w:p>
    <w:p>
      <w:pPr>
        <w:pStyle w:val="FirstParagraph"/>
      </w:pPr>
      <w:r>
        <w:t xml:space="preserve">AppLovin heads into its second-quarter report as one of the more polarized large-cap growth stories in the market: fundamentals have been essentially flawless for two years, but the stock has been in a steep drawdown even as the print approaches. Shares are down roughly 45% from their December 2025 all-time high near $735 and have fallen for much of the last month, trading around</w:t>
      </w:r>
      <w:r>
        <w:t xml:space="preserve"> </w:t>
      </w:r>
      <m:oMath>
        <m:r>
          <m:t>410</m:t>
        </m:r>
        <m:r>
          <m:rPr>
            <m:sty m:val="p"/>
          </m:rPr>
          <m:t>−</m:t>
        </m:r>
      </m:oMath>
      <w:r>
        <w:t xml:space="preserve">420 heading into the report versus a Street consensus price target in the</w:t>
      </w:r>
      <w:r>
        <w:t xml:space="preserve"> </w:t>
      </w:r>
      <m:oMath>
        <m:r>
          <m:t>650</m:t>
        </m:r>
        <m:r>
          <m:rPr>
            <m:sty m:val="p"/>
          </m:rPr>
          <m:t>−</m:t>
        </m:r>
      </m:oMath>
      <w:r>
        <w:t xml:space="preserve">670 range and a 52-week range of roughly</w:t>
      </w:r>
      <w:r>
        <w:t xml:space="preserve"> </w:t>
      </w:r>
      <m:oMath>
        <m:r>
          <m:t>343</m:t>
        </m:r>
        <m:r>
          <m:rPr>
            <m:sty m:val="p"/>
          </m:rPr>
          <m:t>−</m:t>
        </m:r>
      </m:oMath>
      <w:r>
        <w:t xml:space="preserve">746. The disconnect between "best-in-class fundamentals" and "worst-in-class recent price action" is the central tension investors need to reconcile with this report.</w:t>
      </w:r>
    </w:p>
    <w:p>
      <w:pPr>
        <w:pStyle w:val="BodyText"/>
      </w:pPr>
      <w:r>
        <w:rPr>
          <w:b/>
          <w:bCs/>
        </w:rPr>
        <w:t xml:space="preserve">Consensus expectations for Q2 2026:</w:t>
      </w:r>
    </w:p>
    <w:p>
      <w:pPr>
        <w:pStyle w:val="Compact"/>
        <w:numPr>
          <w:ilvl w:val="0"/>
          <w:numId w:val="1001"/>
        </w:numPr>
      </w:pPr>
      <w:r>
        <w:t xml:space="preserve">Revenue: ~$1.94 billion (Street), within/near the top of management's own</w:t>
      </w:r>
      <w:r>
        <w:t xml:space="preserve"> </w:t>
      </w:r>
      <m:oMath>
        <m:r>
          <m:t>1.915</m:t>
        </m:r>
        <m:r>
          <m:t>B</m:t>
        </m:r>
        <m:r>
          <m:rPr>
            <m:sty m:val="p"/>
          </m:rPr>
          <m:t>–</m:t>
        </m:r>
      </m:oMath>
      <w:r>
        <w:t xml:space="preserve">1.945B guidance range</w:t>
      </w:r>
    </w:p>
    <w:p>
      <w:pPr>
        <w:pStyle w:val="Compact"/>
        <w:numPr>
          <w:ilvl w:val="0"/>
          <w:numId w:val="1001"/>
        </w:numPr>
      </w:pPr>
      <w:r>
        <w:t xml:space="preserve">Adjusted EBITDA: ~$1.63 billion, consistent with the 84%-85% margin guide</w:t>
      </w:r>
    </w:p>
    <w:p>
      <w:pPr>
        <w:pStyle w:val="Compact"/>
        <w:numPr>
          <w:ilvl w:val="0"/>
          <w:numId w:val="1001"/>
        </w:numPr>
      </w:pPr>
      <w:r>
        <w:t xml:space="preserve">EPS: consensus around</w:t>
      </w:r>
      <w:r>
        <w:t xml:space="preserve"> </w:t>
      </w:r>
      <m:oMath>
        <m:r>
          <m:t>3.72</m:t>
        </m:r>
        <m:r>
          <m:rPr>
            <m:sty m:val="p"/>
          </m:rPr>
          <m:t>−</m:t>
        </m:r>
      </m:oMath>
      <w:r>
        <w:t xml:space="preserve">3.76, implying ~65% y/y growth</w:t>
      </w:r>
    </w:p>
    <w:p>
      <w:pPr>
        <w:pStyle w:val="FirstParagraph"/>
      </w:pPr>
      <w:r>
        <w:t xml:space="preserve">AppLovin is scheduled to report Q2 earnings on Wednesday, August 5th after the US close, with the Street expecting sales growth of 54% to $1.94 billion and EBITDA of $1.63 billion. Sentiment among sell-side analysts remains constructive on the underlying business — sentiment remains fairly positive on the fundamental story, with bulls anticipating continued robust top-line growth and healthy margins — but there has been some near-term anxiety about the company's new e-commerce initiative scaling slower than initially feared.</w:t>
      </w:r>
    </w:p>
    <w:p>
      <w:r>
        <w:pict>
          <v:rect style="width:0;height:1.5pt" o:hralign="center" o:hrstd="t" o:hr="t"/>
        </w:pict>
      </w:r>
    </w:p>
    <w:bookmarkEnd w:id="9"/>
    <w:bookmarkStart w:id="10" w:name="X4f37351ea942273a02b6751988ebf02626c37c4"/>
    <w:p>
      <w:pPr>
        <w:pStyle w:val="Heading2"/>
      </w:pPr>
      <w:r>
        <w:t xml:space="preserve">2. What Q1 Told Us — The Bar This Quarter Has to Clear</w:t>
      </w:r>
    </w:p>
    <w:p>
      <w:pPr>
        <w:pStyle w:val="FirstParagraph"/>
      </w:pPr>
      <w:r>
        <w:t xml:space="preserve">Q1 2026 was, by the numbers, another blowout quarter and the base the market is now working from:</w:t>
      </w:r>
    </w:p>
    <w:p>
      <w:pPr>
        <w:pStyle w:val="BodyText"/>
      </w:pPr>
      <w:r>
        <w:t xml:space="preserve">Revenue in the first quarter was $1.84 billion, up 59% year-over-year and 11% sequentially... Adjusted EBITDA was $1.56 billion, up 66% year-over-year, representing an 85% margin. Margins expanded approximately 400 basis points from the same period last year. Net income from continuing operations was $1.21 billion, up 67% y/y, and free cash flow was $1.29 billion, with the company ending the quarter with $2.76 billion in cash. AppLovin also returned $1 billion to shareholders via buybacks in the quarter and had roughly $2.3 billion left on its repurchase authorization.</w:t>
      </w:r>
    </w:p>
    <w:p>
      <w:pPr>
        <w:pStyle w:val="BodyText"/>
      </w:pPr>
      <w:r>
        <w:t xml:space="preserve">For Q2, management guided to</w:t>
      </w:r>
      <w:r>
        <w:t xml:space="preserve"> </w:t>
      </w:r>
      <m:oMath>
        <m:r>
          <m:t>1.915</m:t>
        </m:r>
        <m:r>
          <m:t>B</m:t>
        </m:r>
        <m:r>
          <m:rPr>
            <m:sty m:val="p"/>
          </m:rPr>
          <m:t>−</m:t>
        </m:r>
      </m:oMath>
      <w:r>
        <w:rPr>
          <w:b/>
          <w:bCs/>
        </w:rPr>
        <w:t xml:space="preserve">1.945B revenue (52%-55% y/y growth)</w:t>
      </w:r>
      <w:r>
        <w:t xml:space="preserve"> </w:t>
      </w:r>
      <w:r>
        <w:t xml:space="preserve">and</w:t>
      </w:r>
      <w:r>
        <w:t xml:space="preserve"> </w:t>
      </w:r>
      <m:oMath>
        <m:r>
          <m:t>1.615</m:t>
        </m:r>
        <m:r>
          <m:t>B</m:t>
        </m:r>
        <m:r>
          <m:rPr>
            <m:sty m:val="p"/>
          </m:rPr>
          <m:t>−</m:t>
        </m:r>
      </m:oMath>
      <w:r>
        <w:rPr>
          <w:b/>
          <w:bCs/>
        </w:rPr>
        <w:t xml:space="preserve">1.645B adjusted EBITDA (84%-85% margin)</w:t>
      </w:r>
      <w:r>
        <w:t xml:space="preserve"> </w:t>
      </w:r>
      <w:r>
        <w:t xml:space="preserve">— a guide that already assumes continued gaming strength plus an incremental lift from the June self-serve launch, but nothing dramatic. Given the company has beaten its own guidance in each of the last several quarters, the real question for the print isn't whether they clear the guide, but by how much, and — more importantly — what commentary accompanies the numbers about the pace of the e-commerce ramp.</w:t>
      </w:r>
    </w:p>
    <w:p>
      <w:r>
        <w:pict>
          <v:rect style="width:0;height:1.5pt" o:hralign="center" o:hrstd="t" o:hr="t"/>
        </w:pict>
      </w:r>
    </w:p>
    <w:bookmarkEnd w:id="10"/>
    <w:bookmarkStart w:id="11" w:name="Xfb2a169946a25f154d49fc18d9e726955a24236"/>
    <w:p>
      <w:pPr>
        <w:pStyle w:val="Heading2"/>
      </w:pPr>
      <w:r>
        <w:t xml:space="preserve">3. The Big Story: Axon Goes Fully Self-Serve</w:t>
      </w:r>
    </w:p>
    <w:p>
      <w:pPr>
        <w:pStyle w:val="FirstParagraph"/>
      </w:pPr>
      <w:r>
        <w:t xml:space="preserve">The single most important strategic event of the year happened intra-quarter: in late June 2026, AppLovin opened its Axon advertising platform to</w:t>
      </w:r>
      <w:r>
        <w:t xml:space="preserve"> </w:t>
      </w:r>
      <w:r>
        <w:rPr>
          <w:b/>
          <w:bCs/>
        </w:rPr>
        <w:t xml:space="preserve">any advertiser globally</w:t>
      </w:r>
      <w:r>
        <w:t xml:space="preserve">, ending 14 years of being a closed, invitation/referral-only system. On the Q1 call, CEO Adam Foroughi framed this as transformative: "That is a major milestone. For 14 years, we have been a closed platform. Come June, advertisers across the world will be able to sign up for Axon and start running campaigns. That changes the trajectory of this company in a very meaningful way."</w:t>
      </w:r>
    </w:p>
    <w:p>
      <w:pPr>
        <w:pStyle w:val="BodyText"/>
      </w:pPr>
      <w:r>
        <w:t xml:space="preserve">Key context management gave heading into the launch:</w:t>
      </w:r>
    </w:p>
    <w:p>
      <w:pPr>
        <w:pStyle w:val="Compact"/>
        <w:numPr>
          <w:ilvl w:val="0"/>
          <w:numId w:val="1002"/>
        </w:numPr>
      </w:pPr>
      <w:r>
        <w:t xml:space="preserve">The "consumer" vertical (formerly called e-commerce) was "still only 1.5-years-old" as a product but exited Q1 with real acceleration: "March growing roughly 25% more than the numbers we did in January and April reaching a record month in advertiser spend, higher than any peak Q4 month."</w:t>
      </w:r>
    </w:p>
    <w:p>
      <w:pPr>
        <w:pStyle w:val="Compact"/>
        <w:numPr>
          <w:ilvl w:val="0"/>
          <w:numId w:val="1002"/>
        </w:numPr>
      </w:pPr>
      <w:r>
        <w:t xml:space="preserve">Management pegged the economics of new self-serve customers at roughly</w:t>
      </w:r>
      <w:r>
        <w:t xml:space="preserve"> </w:t>
      </w:r>
      <w:r>
        <w:rPr>
          <w:b/>
          <w:bCs/>
        </w:rPr>
        <w:t xml:space="preserve">$70,000 in average first-year ad spend per advertiser</w:t>
      </w:r>
      <w:r>
        <w:t xml:space="preserve">, with near-zero churn once an account clears 30 days of live spend and sub-30-day payback on the marketing dollars spent to acquire them.</w:t>
      </w:r>
    </w:p>
    <w:p>
      <w:pPr>
        <w:pStyle w:val="Compact"/>
        <w:numPr>
          <w:ilvl w:val="0"/>
          <w:numId w:val="1002"/>
        </w:numPr>
      </w:pPr>
      <w:r>
        <w:t xml:space="preserve">Creative tooling (an AI-generated interactive page generator, plus a video-ad generator in final testing at the time of the Q1 call) was called out as the key unlock for smaller, non-gaming advertisers who historically lacked the video assets AppLovin's placements require.</w:t>
      </w:r>
    </w:p>
    <w:p>
      <w:pPr>
        <w:pStyle w:val="FirstParagraph"/>
      </w:pPr>
      <w:r>
        <w:rPr>
          <w:b/>
          <w:bCs/>
        </w:rPr>
        <w:t xml:space="preserve">This is the swing factor for Q2 and beyond.</w:t>
      </w:r>
      <w:r>
        <w:t xml:space="preserve"> </w:t>
      </w:r>
      <w:r>
        <w:t xml:space="preserve">The launch happened only in the last few weeks of the quarter, so Q2 results will show, at best, a partial-quarter benefit; the real read-through comes from commentary on early self-serve sign-up volumes, conversion-to-live-spend rates, and — critically — Q3 guidance, since that's the first full quarter under general availability. Independent channel/agency checks published mid-quarter suggested e-commerce/consumer advertisers were roughly a third of agency ad budgets on the platform by Q1 2026, with continued (if occasionally choppy) sequential growth, and noted an emerging, still-nascent connected-TV contribution flowing through the same Axon auction.</w:t>
      </w:r>
    </w:p>
    <w:p>
      <w:r>
        <w:pict>
          <v:rect style="width:0;height:1.5pt" o:hralign="center" o:hrstd="t" o:hr="t"/>
        </w:pict>
      </w:r>
    </w:p>
    <w:bookmarkEnd w:id="11"/>
    <w:bookmarkStart w:id="12" w:name="X9538acd36684868500fac8ea4850010c4b55cfd"/>
    <w:p>
      <w:pPr>
        <w:pStyle w:val="Heading2"/>
      </w:pPr>
      <w:r>
        <w:t xml:space="preserve">4. Gaming: Still the Foundation, Still Growing Fast</w:t>
      </w:r>
    </w:p>
    <w:p>
      <w:pPr>
        <w:pStyle w:val="FirstParagraph"/>
      </w:pPr>
      <w:r>
        <w:t xml:space="preserve">It's easy to get distracted by the consumer/e-commerce narrative, but gaming remains the majority of revenue and showed no signs of deceleration as of Q1. Foroughi was explicit that the mix shift toward "hybrid" monetization (in-app-purchase games layering on ad monetization) remains an underappreciated tailwind: "we're going into a period post growing really quickly, but one where there's going to be a lot more games from the highest quality developers and more games that are targeted directly at what we're very good at, ads and IAP." Management reiterated a long-standing 20%-30% long-term growth target for gaming ads alone while noting actual growth has run "way over" that rate for many quarters, and said explicitly they've "yet since we launched AXON 2.0, seen a slowdown" in the category. Watch for whether that streak (management cited 12 consecutive quarters of accelerating/strong growth) continued through Q2, and whether commentary from the Gaming CEO Summit referenced on the Q1 call (AI-assisted game development lowering the cost of new content) is translating into more advertiser supply.</w:t>
      </w:r>
    </w:p>
    <w:p>
      <w:r>
        <w:pict>
          <v:rect style="width:0;height:1.5pt" o:hralign="center" o:hrstd="t" o:hr="t"/>
        </w:pict>
      </w:r>
    </w:p>
    <w:bookmarkEnd w:id="12"/>
    <w:bookmarkStart w:id="13" w:name="X08b30e17de44160e6869b9a1b053ed88e61e490"/>
    <w:p>
      <w:pPr>
        <w:pStyle w:val="Heading2"/>
      </w:pPr>
      <w:r>
        <w:t xml:space="preserve">5. Why the Stock Has Been Weak Into the Print</w:t>
      </w:r>
    </w:p>
    <w:p>
      <w:pPr>
        <w:pStyle w:val="FirstParagraph"/>
      </w:pPr>
      <w:r>
        <w:t xml:space="preserve">Despite the fundamental momentum, APP has been one of the market's worse performers in Q2/Q3, falling roughly 24% in H1 2026 and continuing to slide through July. The drivers cited across sell-side and financial media commentary include:</w:t>
      </w:r>
    </w:p>
    <w:p>
      <w:pPr>
        <w:pStyle w:val="Compact"/>
        <w:numPr>
          <w:ilvl w:val="0"/>
          <w:numId w:val="1003"/>
        </w:numPr>
      </w:pPr>
      <w:r>
        <w:rPr>
          <w:b/>
          <w:bCs/>
        </w:rPr>
        <w:t xml:space="preserve">Execution-risk repricing around the self-serve launch itself.</w:t>
      </w:r>
      <w:r>
        <w:t xml:space="preserve"> </w:t>
      </w:r>
      <w:r>
        <w:t xml:space="preserve">The shift from a curated, referral-gated onboarding process to an open, unvetted global advertiser base raised concerns about onboarding friction, ad-quality dilution, and pressure on AppLovin's industry-leading EBITDA margins.</w:t>
      </w:r>
    </w:p>
    <w:p>
      <w:pPr>
        <w:pStyle w:val="Compact"/>
        <w:numPr>
          <w:ilvl w:val="0"/>
          <w:numId w:val="1003"/>
        </w:numPr>
      </w:pPr>
      <w:r>
        <w:rPr>
          <w:b/>
          <w:bCs/>
        </w:rPr>
        <w:t xml:space="preserve">Heavy insider selling.</w:t>
      </w:r>
      <w:r>
        <w:t xml:space="preserve"> </w:t>
      </w:r>
      <w:r>
        <w:t xml:space="preserve">Multiple outlets flagged insider Form 4 sales in June/July, including tens of millions of dollars sold by CEO Adam Foroughi and other executives, which some investors read as a cautionary signal around a major product transition, even though Foroughi retains a substantial stake.</w:t>
      </w:r>
    </w:p>
    <w:p>
      <w:pPr>
        <w:pStyle w:val="Compact"/>
        <w:numPr>
          <w:ilvl w:val="0"/>
          <w:numId w:val="1003"/>
        </w:numPr>
      </w:pPr>
      <w:r>
        <w:rPr>
          <w:b/>
          <w:bCs/>
        </w:rPr>
        <w:t xml:space="preserve">Broader software/growth-stock rotation.</w:t>
      </w:r>
      <w:r>
        <w:t xml:space="preserve"> </w:t>
      </w:r>
      <w:r>
        <w:t xml:space="preserve">AppLovin has traded in sympathy with high-multiple software names (Salesforce, Adobe, Oracle-related AI-disruption jitters) and the software-sector ETF complex, despite having a fundamentally different, ad-tech-driven business model.</w:t>
      </w:r>
    </w:p>
    <w:p>
      <w:pPr>
        <w:pStyle w:val="Compact"/>
        <w:numPr>
          <w:ilvl w:val="0"/>
          <w:numId w:val="1003"/>
        </w:numPr>
      </w:pPr>
      <w:r>
        <w:rPr>
          <w:b/>
          <w:bCs/>
        </w:rPr>
        <w:t xml:space="preserve">Competitive overhang from Meta.</w:t>
      </w:r>
      <w:r>
        <w:t xml:space="preserve"> </w:t>
      </w:r>
      <w:r>
        <w:t xml:space="preserve">Ongoing worry that Meta's push into "untracked" ad inventory/Audience Network could pressure AppLovin's positioning, alongside newer entrants like recently-IPO'd Liftoff Mobile.</w:t>
      </w:r>
    </w:p>
    <w:p>
      <w:pPr>
        <w:pStyle w:val="Compact"/>
        <w:numPr>
          <w:ilvl w:val="0"/>
          <w:numId w:val="1003"/>
        </w:numPr>
      </w:pPr>
      <w:r>
        <w:rPr>
          <w:b/>
          <w:bCs/>
        </w:rPr>
        <w:t xml:space="preserve">Valuation with little room for error.</w:t>
      </w:r>
      <w:r>
        <w:t xml:space="preserve"> </w:t>
      </w:r>
      <w:r>
        <w:t xml:space="preserve">Even after the pullback, APP trades at a premium multiple (roughly mid-30s forward P/E, high-20s/mid-20s EV/EBITDA by some counts), and the stock's beta (~2.4-2.5x) means it moves sharply on both earnings surprises and macro risk-off days.</w:t>
      </w:r>
    </w:p>
    <w:p>
      <w:pPr>
        <w:pStyle w:val="Compact"/>
        <w:numPr>
          <w:ilvl w:val="0"/>
          <w:numId w:val="1003"/>
        </w:numPr>
      </w:pPr>
      <w:r>
        <w:rPr>
          <w:b/>
          <w:bCs/>
        </w:rPr>
        <w:t xml:space="preserve">Lingering SEC-investigation and short-seller overhang</w:t>
      </w:r>
      <w:r>
        <w:t xml:space="preserve"> </w:t>
      </w:r>
      <w:r>
        <w:t xml:space="preserve">that has periodically resurfaced as a source of volatility, though it has not been a fresh incremental catalyst recently.</w:t>
      </w:r>
    </w:p>
    <w:p>
      <w:r>
        <w:pict>
          <v:rect style="width:0;height:1.5pt" o:hralign="center" o:hrstd="t" o:hr="t"/>
        </w:pict>
      </w:r>
    </w:p>
    <w:bookmarkEnd w:id="13"/>
    <w:bookmarkStart w:id="14" w:name="Xa986dacdbd5bace6130b42c2f744d0abea23eef"/>
    <w:p>
      <w:pPr>
        <w:pStyle w:val="Heading2"/>
      </w:pPr>
      <w:r>
        <w:t xml:space="preserve">6. What to Listen For on the Call</w:t>
      </w:r>
    </w:p>
    <w:p>
      <w:pPr>
        <w:pStyle w:val="Compact"/>
        <w:numPr>
          <w:ilvl w:val="0"/>
          <w:numId w:val="1004"/>
        </w:numPr>
      </w:pPr>
      <w:r>
        <w:rPr>
          <w:b/>
          <w:bCs/>
        </w:rPr>
        <w:t xml:space="preserve">Self-serve adoption metrics</w:t>
      </w:r>
      <w:r>
        <w:t xml:space="preserve"> </w:t>
      </w:r>
      <w:r>
        <w:t xml:space="preserve">— sign-up volumes, qualified-lead-to-live-spend conversion (management had flagged this bottleneck at roughly 57% pre-launch), and whether new-customer economics (the ~$70K first-year spend figure) are holding up at scale.</w:t>
      </w:r>
    </w:p>
    <w:p>
      <w:pPr>
        <w:pStyle w:val="Compact"/>
        <w:numPr>
          <w:ilvl w:val="0"/>
          <w:numId w:val="1004"/>
        </w:numPr>
      </w:pPr>
      <w:r>
        <w:rPr>
          <w:b/>
          <w:bCs/>
        </w:rPr>
        <w:t xml:space="preserve">Q3 guidance</w:t>
      </w:r>
      <w:r>
        <w:t xml:space="preserve"> </w:t>
      </w:r>
      <w:r>
        <w:t xml:space="preserve">— the first quarter fully reflecting general-availability Axon; this is arguably more important than the Q2 beat/miss itself.</w:t>
      </w:r>
    </w:p>
    <w:p>
      <w:pPr>
        <w:pStyle w:val="Compact"/>
        <w:numPr>
          <w:ilvl w:val="0"/>
          <w:numId w:val="1004"/>
        </w:numPr>
      </w:pPr>
      <w:r>
        <w:rPr>
          <w:b/>
          <w:bCs/>
        </w:rPr>
        <w:t xml:space="preserve">Margin trajectory</w:t>
      </w:r>
      <w:r>
        <w:t xml:space="preserve"> </w:t>
      </w:r>
      <w:r>
        <w:t xml:space="preserve">— whether increased sales &amp; marketing spend tied to brand-building and the broader launch (which management flagged as a likely "temporary increase") shows up, and how it's being framed relative to payback economics.</w:t>
      </w:r>
    </w:p>
    <w:p>
      <w:pPr>
        <w:pStyle w:val="Compact"/>
        <w:numPr>
          <w:ilvl w:val="0"/>
          <w:numId w:val="1004"/>
        </w:numPr>
      </w:pPr>
      <w:r>
        <w:rPr>
          <w:b/>
          <w:bCs/>
        </w:rPr>
        <w:t xml:space="preserve">Consumer-vertical growth cadence</w:t>
      </w:r>
      <w:r>
        <w:t xml:space="preserve"> </w:t>
      </w:r>
      <w:r>
        <w:t xml:space="preserve">— sequential trends versus the strong April/Q1 exit rate, and any update on the video-ad generative-creative tool's broader rollout.</w:t>
      </w:r>
    </w:p>
    <w:p>
      <w:pPr>
        <w:pStyle w:val="Compact"/>
        <w:numPr>
          <w:ilvl w:val="0"/>
          <w:numId w:val="1004"/>
        </w:numPr>
      </w:pPr>
      <w:r>
        <w:rPr>
          <w:b/>
          <w:bCs/>
        </w:rPr>
        <w:t xml:space="preserve">Gaming vertical growth rate</w:t>
      </w:r>
      <w:r>
        <w:t xml:space="preserve"> </w:t>
      </w:r>
      <w:r>
        <w:t xml:space="preserve">— confirmation that the hybrid-monetization tailwind and AXON model improvements are still driving above-trend growth with no cannibalization between gaming and consumer demand.</w:t>
      </w:r>
    </w:p>
    <w:p>
      <w:pPr>
        <w:pStyle w:val="Compact"/>
        <w:numPr>
          <w:ilvl w:val="0"/>
          <w:numId w:val="1004"/>
        </w:numPr>
      </w:pPr>
      <w:r>
        <w:rPr>
          <w:b/>
          <w:bCs/>
        </w:rPr>
        <w:t xml:space="preserve">Capital returns</w:t>
      </w:r>
      <w:r>
        <w:t xml:space="preserve"> </w:t>
      </w:r>
      <w:r>
        <w:t xml:space="preserve">— pace of buybacks against the remaining ~$2.3B authorization, given the stock's decline from its highs.</w:t>
      </w:r>
    </w:p>
    <w:p>
      <w:pPr>
        <w:pStyle w:val="Compact"/>
        <w:numPr>
          <w:ilvl w:val="0"/>
          <w:numId w:val="1004"/>
        </w:numPr>
      </w:pPr>
      <w:r>
        <w:t xml:space="preserve">Any incremental color on</w:t>
      </w:r>
      <w:r>
        <w:t xml:space="preserve"> </w:t>
      </w:r>
      <w:r>
        <w:rPr>
          <w:b/>
          <w:bCs/>
        </w:rPr>
        <w:t xml:space="preserve">connected TV / Wurl</w:t>
      </w:r>
      <w:r>
        <w:t xml:space="preserve">,</w:t>
      </w:r>
      <w:r>
        <w:t xml:space="preserve"> </w:t>
      </w:r>
      <w:r>
        <w:rPr>
          <w:b/>
          <w:bCs/>
        </w:rPr>
        <w:t xml:space="preserve">lead-generation vertical testing</w:t>
      </w:r>
      <w:r>
        <w:t xml:space="preserve">, and</w:t>
      </w:r>
      <w:r>
        <w:t xml:space="preserve"> </w:t>
      </w:r>
      <w:r>
        <w:rPr>
          <w:b/>
          <w:bCs/>
        </w:rPr>
        <w:t xml:space="preserve">international expansion</w:t>
      </w:r>
      <w:r>
        <w:t xml:space="preserve">, all flagged by management as multi-year (not 2026) opportunities.</w:t>
      </w:r>
    </w:p>
    <w:p>
      <w:r>
        <w:pict>
          <v:rect style="width:0;height:1.5pt" o:hralign="center" o:hrstd="t" o:hr="t"/>
        </w:pict>
      </w:r>
    </w:p>
    <w:bookmarkEnd w:id="14"/>
    <w:bookmarkStart w:id="15" w:name="X676138a259961ec1bdc51dfe0d15b8fd9c1300e"/>
    <w:p>
      <w:pPr>
        <w:pStyle w:val="Heading2"/>
      </w:pPr>
      <w:r>
        <w:t xml:space="preserve">7. Bull Case vs. Bear Case</w:t>
      </w:r>
    </w:p>
    <w:p>
      <w:pPr>
        <w:pStyle w:val="FirstParagraph"/>
      </w:pPr>
      <w:r>
        <w:rPr>
          <w:b/>
          <w:bCs/>
        </w:rPr>
        <w:t xml:space="preserve">Bull case:</w:t>
      </w:r>
      <w:r>
        <w:t xml:space="preserve"> </w:t>
      </w:r>
      <w:r>
        <w:t xml:space="preserve">AppLovin has an extraordinarily profitable core (85% EBITDA margins, ~65% net margins) with a gaming ad business still compounding faster than its own long-stated 20-30% targets, now layering on a genuinely new, much larger TAM (e-commerce/consumer, and eventually lead-gen and CTV) via a self-serve platform that just went fully live. If self-serve adoption tracks anywhere near management's cohort math, revenue growth could stay elevated well beyond current Street models, and the stock's post-drawdown valuation (mid-20s to low-30s forward P/E for a company still growing &gt;50%) looks cheap relative to history.</w:t>
      </w:r>
    </w:p>
    <w:p>
      <w:pPr>
        <w:pStyle w:val="BodyText"/>
      </w:pPr>
      <w:r>
        <w:rPr>
          <w:b/>
          <w:bCs/>
        </w:rPr>
        <w:t xml:space="preserve">Bear case:</w:t>
      </w:r>
      <w:r>
        <w:t xml:space="preserve"> </w:t>
      </w:r>
      <w:r>
        <w:t xml:space="preserve">The e-commerce/consumer ramp has already shown signs of being lumpier and slower than the market initially priced in, self-serve democratization could dilute ad quality or invite more aggressive competitive response from Meta and others, heavy insider selling raises questions about executive conviction near the top, and current estimates already bake in a fairly steep growth deceleration into 2027 — leaving limited room for a "good enough" quarter to satisfy a Street that has been trained to expect blowout beats.</w:t>
      </w:r>
    </w:p>
    <w:p>
      <w:r>
        <w:pict>
          <v:rect style="width:0;height:1.5pt" o:hralign="center" o:hrstd="t" o:hr="t"/>
        </w:pict>
      </w:r>
    </w:p>
    <w:bookmarkEnd w:id="15"/>
    <w:bookmarkStart w:id="16" w:name="X59a56c4de27670f2623d3582f339eb306b624b0"/>
    <w:p>
      <w:pPr>
        <w:pStyle w:val="Heading2"/>
      </w:pPr>
      <w:r>
        <w:t xml:space="preserve">8. Bottom Line</w:t>
      </w:r>
    </w:p>
    <w:p>
      <w:pPr>
        <w:pStyle w:val="FirstParagraph"/>
      </w:pPr>
      <w:r>
        <w:t xml:space="preserve">This is a high-stakes, binary-feeling print for a stock that has already de-rated sharply. The fundamental business — gaming ads plus a scaling consumer/e-commerce vertical — has not shown cracks in any disclosed data point through Q1, and the June self-serve Axon launch is the most significant strategic unlock in the company's history. The Q2 numbers themselves will likely clear the modest guide management set; the far bigger swing factor is what management says about early self-serve traction and, especially, what they guide to for Q3 — the first full quarter of the platform being open to the world. Given the stock's ~2.5x beta and the market's current appetite to punish any hint of deceleration in high-multiple AI/software-adjacent names, volatility around the print should be expected in either direction.</w:t>
      </w:r>
    </w:p>
    <w:bookmarkEnd w:id="16"/>
    <w:bookmarkEnd w:id="1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2026-08-05T01:11:06Z</dcterms:created>
  <dcterms:modified xsi:type="dcterms:W3CDTF">2026-08-05T01:11:06Z</dcterms:modified>
</cp:coreProperties>
</file>

<file path=docProps/custom.xml><?xml version="1.0" encoding="utf-8"?>
<Properties xmlns="http://schemas.openxmlformats.org/officeDocument/2006/custom-properties" xmlns:vt="http://schemas.openxmlformats.org/officeDocument/2006/docPropsVTypes"/>
</file>