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p-earnings-predictions--2026-08-05"/>
    <w:p>
      <w:pPr>
        <w:pStyle w:val="Heading1"/>
      </w:pPr>
      <w:r>
        <w:t xml:space="preserve">APP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~$1.97B vs. cons $1.94B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~$1.67B vs. cons $1.63B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EBITDA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~84.8% vs. cons 84.0%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~$2.12B vs. cons $2.08B (2026 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~$1.80B vs. cons $1.76B (2026 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EBITDA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~84.8% vs. cons 84.5% (2026 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+9.0% (FOLLOW-THROUGH)</w:t>
            </w:r>
          </w:p>
        </w:tc>
        <w:tc>
          <w:tcPr/>
          <w:p>
            <w:pPr>
              <w:pStyle w:val="Compact"/>
            </w:pPr>
            <w:r>
              <w:t xml:space="preserve">Q3 revenue and adjusted EBITDA guidance modestly above consensus should lift out-period estimates after the Q2 beat; continued gaming strength and credible consumer-advertising cohort expansion would support positive revisions rather than an initial-pop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2026-08-05T01:09:23Z</dcterms:created>
  <dcterms:modified xsi:type="dcterms:W3CDTF">2026-08-05T01:09:23Z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