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279fefe31c61e760dea984a03704c36d9276e2"/>
    <w:p>
      <w:pPr>
        <w:pStyle w:val="Heading1"/>
      </w:pPr>
      <w:r>
        <w:t xml:space="preserve">AppLovin (NASDAQ: APP) — 2026 Q2 Earnings Preview</w:t>
      </w:r>
    </w:p>
    <w:p>
      <w:pPr>
        <w:pStyle w:val="BlockText"/>
      </w:pPr>
      <w:r>
        <w:rPr>
          <w:b/>
          <w:bCs/>
        </w:rPr>
        <w:t xml:space="preserve">Timing clarification:</w:t>
      </w:r>
      <w:r>
        <w:t xml:space="preserve"> </w:t>
      </w:r>
      <w:r>
        <w:t xml:space="preserve">AppLovin is scheduled to report</w:t>
      </w:r>
      <w:r>
        <w:t xml:space="preserve"> </w:t>
      </w:r>
      <w:r>
        <w:rPr>
          <w:b/>
          <w:bCs/>
        </w:rPr>
        <w:t xml:space="preserve">today, Wednesday, August 5, 2026, after the U.S. market close</w:t>
      </w:r>
      <w:r>
        <w:t xml:space="preserve">, with its earnings call at</w:t>
      </w:r>
      <w:r>
        <w:t xml:space="preserve"> </w:t>
      </w:r>
      <w:r>
        <w:rPr>
          <w:b/>
          <w:bCs/>
        </w:rPr>
        <w:t xml:space="preserve">5:00 p.m. ET</w:t>
      </w:r>
      <w:r>
        <w:t xml:space="preserve">—not tomorrow.</w:t>
      </w:r>
    </w:p>
    <w:bookmarkStart w:id="9" w:name="executive-view"/>
    <w:p>
      <w:pPr>
        <w:pStyle w:val="Heading2"/>
      </w:pPr>
      <w:r>
        <w:t xml:space="preserve">Executive view</w:t>
      </w:r>
    </w:p>
    <w:p>
      <w:pPr>
        <w:pStyle w:val="FirstParagraph"/>
      </w:pPr>
      <w:r>
        <w:t xml:space="preserve">This report is less about whether AppLovin can clear its Q2 guidance and more about whether management can validate the next leg of the growth story.</w:t>
      </w:r>
    </w:p>
    <w:p>
      <w:pPr>
        <w:pStyle w:val="BodyText"/>
      </w:pPr>
      <w:r>
        <w:t xml:space="preserve">The core mobile-gaming business entered the quarter with strong momentum, while the broader</w:t>
      </w:r>
      <w:r>
        <w:t xml:space="preserve"> </w:t>
      </w:r>
      <w:r>
        <w:rPr>
          <w:b/>
          <w:bCs/>
        </w:rPr>
        <w:t xml:space="preserve">consumer/e-commerce rollout of Axon Ads Manager</w:t>
      </w:r>
      <w:r>
        <w:t xml:space="preserve"> </w:t>
      </w:r>
      <w:r>
        <w:t xml:space="preserve">moved into general availability during June. Investors will therefore focus on three questions:</w:t>
      </w:r>
    </w:p>
    <w:p>
      <w:pPr>
        <w:pStyle w:val="Compact"/>
        <w:numPr>
          <w:ilvl w:val="0"/>
          <w:numId w:val="1001"/>
        </w:numPr>
      </w:pPr>
      <w:r>
        <w:rPr>
          <w:b/>
          <w:bCs/>
        </w:rPr>
        <w:t xml:space="preserve">Is gaming still growing fast enough to support the current financial model?</w:t>
      </w:r>
    </w:p>
    <w:p>
      <w:pPr>
        <w:pStyle w:val="Compact"/>
        <w:numPr>
          <w:ilvl w:val="0"/>
          <w:numId w:val="1001"/>
        </w:numPr>
      </w:pPr>
      <w:r>
        <w:rPr>
          <w:b/>
          <w:bCs/>
        </w:rPr>
        <w:t xml:space="preserve">Did the consumer business accelerate after the public launch, or is onboarding progressing more slowly than hoped?</w:t>
      </w:r>
    </w:p>
    <w:p>
      <w:pPr>
        <w:pStyle w:val="Compact"/>
        <w:numPr>
          <w:ilvl w:val="0"/>
          <w:numId w:val="1001"/>
        </w:numPr>
      </w:pPr>
      <w:r>
        <w:rPr>
          <w:b/>
          <w:bCs/>
        </w:rPr>
        <w:t xml:space="preserve">Can AppLovin sustain roughly 85% adjusted EBITDA margins while investing in customer acquisition, AI creative tools and additional computing capacity?</w:t>
      </w:r>
    </w:p>
    <w:p>
      <w:pPr>
        <w:pStyle w:val="FirstParagraph"/>
      </w:pPr>
      <w:r>
        <w:t xml:space="preserve">Recent weakness in the shares has lowered expectations somewhat, but the valuation still assumes exceptional growth and profitability. A routine beat may not be enough unless it comes with convincing commentary about consumer-advertiser adoption and the second-half outlook.</w:t>
      </w:r>
    </w:p>
    <w:p>
      <w:r>
        <w:pict>
          <v:rect style="width:0;height:1.5pt" o:hralign="center" o:hrstd="t" o:hr="t"/>
        </w:pict>
      </w:r>
    </w:p>
    <w:bookmarkEnd w:id="9"/>
    <w:bookmarkStart w:id="10" w:name="headline-expectations"/>
    <w:p>
      <w:pPr>
        <w:pStyle w:val="Heading2"/>
      </w:pPr>
      <w:r>
        <w:t xml:space="preserve">Headline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company guidance</w:t>
            </w:r>
          </w:p>
        </w:tc>
        <w:tc>
          <w:tcPr/>
          <w:p>
            <w:pPr>
              <w:pStyle w:val="Compact"/>
              <w:jc w:val="right"/>
            </w:pPr>
            <w:r>
              <w:t xml:space="preserve">Current Street indication</w:t>
            </w:r>
          </w:p>
        </w:tc>
      </w:tr>
      <w:tr>
        <w:tc>
          <w:tcPr/>
          <w:p>
            <w:pPr>
              <w:pStyle w:val="Compact"/>
            </w:pPr>
            <w:r>
              <w:t xml:space="preserve">Revenue</w:t>
            </w:r>
          </w:p>
        </w:tc>
        <w:tc>
          <w:tcPr/>
          <w:p>
            <w:pPr>
              <w:pStyle w:val="Compact"/>
              <w:jc w:val="right"/>
            </w:pPr>
            <m:oMath>
              <m:r>
                <m:t>1.915</m:t>
              </m:r>
              <m:r>
                <m:t>B</m:t>
              </m:r>
              <m:r>
                <m:rPr>
                  <m:sty m:val="p"/>
                </m:rPr>
                <m:t>–</m:t>
              </m:r>
            </m:oMath>
            <w:r>
              <w:rPr>
                <w:b/>
                <w:bCs/>
              </w:rPr>
              <w:t xml:space="preserve">1.945B</w:t>
            </w:r>
          </w:p>
        </w:tc>
        <w:tc>
          <w:tcPr/>
          <w:p>
            <w:pPr>
              <w:pStyle w:val="Compact"/>
              <w:jc w:val="right"/>
            </w:pPr>
            <w:r>
              <w:t xml:space="preserve">Approximately</w:t>
            </w:r>
            <w:r>
              <w:t xml:space="preserve"> </w:t>
            </w:r>
            <w:r>
              <w:rPr>
                <w:b/>
                <w:bCs/>
              </w:rPr>
              <w:t xml:space="preserve">$1.94B</w:t>
            </w:r>
          </w:p>
        </w:tc>
      </w:tr>
      <w:tr>
        <w:tc>
          <w:tcPr/>
          <w:p>
            <w:pPr>
              <w:pStyle w:val="Compact"/>
            </w:pPr>
            <w:r>
              <w:t xml:space="preserve">Year-over-year growth</w:t>
            </w:r>
          </w:p>
        </w:tc>
        <w:tc>
          <w:tcPr/>
          <w:p>
            <w:pPr>
              <w:pStyle w:val="Compact"/>
              <w:jc w:val="right"/>
            </w:pPr>
            <w:r>
              <w:rPr>
                <w:b/>
                <w:bCs/>
              </w:rPr>
              <w:t xml:space="preserve">52%–55%</w:t>
            </w:r>
          </w:p>
        </w:tc>
        <w:tc>
          <w:tcPr/>
          <w:p>
            <w:pPr>
              <w:pStyle w:val="Compact"/>
              <w:jc w:val="right"/>
            </w:pPr>
            <w:r>
              <w:t xml:space="preserve">Approximately</w:t>
            </w:r>
            <w:r>
              <w:t xml:space="preserve"> </w:t>
            </w:r>
            <w:r>
              <w:rPr>
                <w:b/>
                <w:bCs/>
              </w:rPr>
              <w:t xml:space="preserve">54%</w:t>
            </w:r>
          </w:p>
        </w:tc>
      </w:tr>
      <w:tr>
        <w:tc>
          <w:tcPr/>
          <w:p>
            <w:pPr>
              <w:pStyle w:val="Compact"/>
            </w:pPr>
            <w:r>
              <w:t xml:space="preserve">Sequential growth</w:t>
            </w:r>
          </w:p>
        </w:tc>
        <w:tc>
          <w:tcPr/>
          <w:p>
            <w:pPr>
              <w:pStyle w:val="Compact"/>
              <w:jc w:val="right"/>
            </w:pPr>
            <w:r>
              <w:rPr>
                <w:b/>
                <w:bCs/>
              </w:rPr>
              <w:t xml:space="preserve">4%–6%</w:t>
            </w:r>
          </w:p>
        </w:tc>
        <w:tc>
          <w:tcPr/>
          <w:p>
            <w:pPr>
              <w:pStyle w:val="Compact"/>
              <w:jc w:val="right"/>
            </w:pPr>
            <w:r>
              <w:t xml:space="preserve">Near the upper half of guidance</w:t>
            </w:r>
          </w:p>
        </w:tc>
      </w:tr>
      <w:tr>
        <w:tc>
          <w:tcPr/>
          <w:p>
            <w:pPr>
              <w:pStyle w:val="Compact"/>
            </w:pPr>
            <w:r>
              <w:t xml:space="preserve">Adjusted EBITDA</w:t>
            </w:r>
          </w:p>
        </w:tc>
        <w:tc>
          <w:tcPr/>
          <w:p>
            <w:pPr>
              <w:pStyle w:val="Compact"/>
              <w:jc w:val="right"/>
            </w:pPr>
            <m:oMath>
              <m:r>
                <m:t>1.615</m:t>
              </m:r>
              <m:r>
                <m:t>B</m:t>
              </m:r>
              <m:r>
                <m:rPr>
                  <m:sty m:val="p"/>
                </m:rPr>
                <m:t>–</m:t>
              </m:r>
            </m:oMath>
            <w:r>
              <w:rPr>
                <w:b/>
                <w:bCs/>
              </w:rPr>
              <w:t xml:space="preserve">1.645B</w:t>
            </w:r>
          </w:p>
        </w:tc>
        <w:tc>
          <w:tcPr/>
          <w:p>
            <w:pPr>
              <w:pStyle w:val="Compact"/>
              <w:jc w:val="right"/>
            </w:pPr>
            <w:r>
              <w:t xml:space="preserve">Approximately</w:t>
            </w:r>
            <w:r>
              <w:t xml:space="preserve"> </w:t>
            </w:r>
            <w:r>
              <w:rPr>
                <w:b/>
                <w:bCs/>
              </w:rPr>
              <w:t xml:space="preserve">$1.63B</w:t>
            </w:r>
          </w:p>
        </w:tc>
      </w:tr>
      <w:tr>
        <w:tc>
          <w:tcPr/>
          <w:p>
            <w:pPr>
              <w:pStyle w:val="Compact"/>
            </w:pPr>
            <w:r>
              <w:t xml:space="preserve">Adjusted EBITDA margin</w:t>
            </w:r>
          </w:p>
        </w:tc>
        <w:tc>
          <w:tcPr/>
          <w:p>
            <w:pPr>
              <w:pStyle w:val="Compact"/>
              <w:jc w:val="right"/>
            </w:pPr>
            <w:r>
              <w:rPr>
                <w:b/>
                <w:bCs/>
              </w:rPr>
              <w:t xml:space="preserve">84%–85%</w:t>
            </w:r>
          </w:p>
        </w:tc>
        <w:tc>
          <w:tcPr/>
          <w:p>
            <w:pPr>
              <w:pStyle w:val="Compact"/>
              <w:jc w:val="right"/>
            </w:pPr>
            <w:r>
              <w:t xml:space="preserve">Approximately</w:t>
            </w:r>
            <w:r>
              <w:t xml:space="preserve"> </w:t>
            </w:r>
            <w:r>
              <w:rPr>
                <w:b/>
                <w:bCs/>
              </w:rPr>
              <w:t xml:space="preserve">84%</w:t>
            </w:r>
          </w:p>
        </w:tc>
      </w:tr>
    </w:tbl>
    <w:p>
      <w:pPr>
        <w:pStyle w:val="BodyText"/>
      </w:pPr>
      <w:r>
        <w:t xml:space="preserve">For context, Q1 revenue was</w:t>
      </w:r>
      <w:r>
        <w:t xml:space="preserve"> </w:t>
      </w:r>
      <m:oMath>
        <m:r>
          <m:t>1.842</m:t>
        </m:r>
        <m:r>
          <m:t>b</m:t>
        </m:r>
        <m:r>
          <m:t>i</m:t>
        </m:r>
        <m:r>
          <m:t>l</m:t>
        </m:r>
        <m:r>
          <m:t>l</m:t>
        </m:r>
        <m:r>
          <m:t>i</m:t>
        </m:r>
        <m:r>
          <m:t>o</m:t>
        </m:r>
        <m:r>
          <m:t>n</m:t>
        </m:r>
        <m:r>
          <m:rPr>
            <m:sty m:val="p"/>
          </m:rPr>
          <m:t>*</m:t>
        </m:r>
        <m:r>
          <m:rPr>
            <m:sty m:val="p"/>
          </m:rPr>
          <m:t>*</m:t>
        </m:r>
        <m:r>
          <m:rPr>
            <m:sty m:val="p"/>
          </m:rPr>
          <m:t>,</m:t>
        </m:r>
        <m:r>
          <m:t>u</m:t>
        </m:r>
        <m:r>
          <m:t>p</m:t>
        </m:r>
        <m:r>
          <m:t>59</m:t>
        </m:r>
      </m:oMath>
      <w:r>
        <w:rPr>
          <w:b/>
          <w:bCs/>
        </w:rPr>
        <w:t xml:space="preserve">1.557 billion</w:t>
      </w:r>
      <w:r>
        <w:t xml:space="preserve">, representing an</w:t>
      </w:r>
      <w:r>
        <w:t xml:space="preserve"> </w:t>
      </w:r>
      <w:r>
        <w:rPr>
          <w:b/>
          <w:bCs/>
        </w:rPr>
        <w:t xml:space="preserve">84.5% margin</w:t>
      </w:r>
      <w:r>
        <w:t xml:space="preserve">. Free cash flow was $1.287 billion, although management warned that Q2 and Q3 cash conversion would be lower because cash-tax payments are weighted toward those periods.</w:t>
      </w:r>
    </w:p>
    <w:p>
      <w:pPr>
        <w:pStyle w:val="BodyText"/>
      </w:pPr>
      <w:r>
        <w:t xml:space="preserve">The published consensus is close to the midpoint of management’s guidance. However, given AppLovin’s recent pattern of exceeding guidance, the practical investor bar is probably closer to—or modestly above—the top end.</w:t>
      </w:r>
    </w:p>
    <w:p>
      <w:r>
        <w:pict>
          <v:rect style="width:0;height:1.5pt" o:hralign="center" o:hrstd="t" o:hr="t"/>
        </w:pict>
      </w:r>
    </w:p>
    <w:bookmarkEnd w:id="10"/>
    <w:bookmarkStart w:id="13" w:name="X45739081b28e887c2d9b43836f7340b1ac31cda"/>
    <w:p>
      <w:pPr>
        <w:pStyle w:val="Heading2"/>
      </w:pPr>
      <w:r>
        <w:t xml:space="preserve">1. Consumer advertising is the report’s main swing factor</w:t>
      </w:r>
    </w:p>
    <w:p>
      <w:pPr>
        <w:pStyle w:val="FirstParagraph"/>
      </w:pPr>
      <w:r>
        <w:t xml:space="preserve">AppLovin’s expansion beyond gaming has become the largest source of upside to the long-term thesis. Management now calls this the</w:t>
      </w:r>
      <w:r>
        <w:t xml:space="preserve"> </w:t>
      </w:r>
      <w:r>
        <w:rPr>
          <w:b/>
          <w:bCs/>
        </w:rPr>
        <w:t xml:space="preserve">consumer vertical</w:t>
      </w:r>
      <w:r>
        <w:t xml:space="preserve">, reflecting ambitions beyond direct-to-consumer e-commerce into subscriptions, lead generation, financial services, insurance and other performance-advertising categories.</w:t>
      </w:r>
    </w:p>
    <w:p>
      <w:pPr>
        <w:pStyle w:val="BodyText"/>
      </w:pPr>
      <w:r>
        <w:t xml:space="preserve">At the Q1 call, management offered several encouraging data points:</w:t>
      </w:r>
    </w:p>
    <w:p>
      <w:pPr>
        <w:pStyle w:val="Compact"/>
        <w:numPr>
          <w:ilvl w:val="0"/>
          <w:numId w:val="1002"/>
        </w:numPr>
      </w:pPr>
      <w:r>
        <w:t xml:space="preserve">Consumer-advertiser spending in March was approximately</w:t>
      </w:r>
      <w:r>
        <w:t xml:space="preserve"> </w:t>
      </w:r>
      <w:r>
        <w:rPr>
          <w:b/>
          <w:bCs/>
        </w:rPr>
        <w:t xml:space="preserve">25% above January</w:t>
      </w:r>
      <w:r>
        <w:t xml:space="preserve">.</w:t>
      </w:r>
    </w:p>
    <w:p>
      <w:pPr>
        <w:pStyle w:val="Compact"/>
        <w:numPr>
          <w:ilvl w:val="0"/>
          <w:numId w:val="1002"/>
        </w:numPr>
      </w:pPr>
      <w:r>
        <w:t xml:space="preserve">April advertiser spending exceeded every month of the prior holiday quarter.</w:t>
      </w:r>
    </w:p>
    <w:p>
      <w:pPr>
        <w:pStyle w:val="Compact"/>
        <w:numPr>
          <w:ilvl w:val="0"/>
          <w:numId w:val="1002"/>
        </w:numPr>
      </w:pPr>
      <w:r>
        <w:t xml:space="preserve">Existing customer cohorts—not merely newly onboarded advertisers—were driving much of the growth.</w:t>
      </w:r>
    </w:p>
    <w:p>
      <w:pPr>
        <w:pStyle w:val="Compact"/>
        <w:numPr>
          <w:ilvl w:val="0"/>
          <w:numId w:val="1002"/>
        </w:numPr>
      </w:pPr>
      <w:r>
        <w:t xml:space="preserve">Customers that remain active through their first 30 days reportedly exhibit very low churn.</w:t>
      </w:r>
    </w:p>
    <w:p>
      <w:pPr>
        <w:pStyle w:val="Compact"/>
        <w:numPr>
          <w:ilvl w:val="0"/>
          <w:numId w:val="1002"/>
        </w:numPr>
      </w:pPr>
      <w:r>
        <w:t xml:space="preserve">Management estimated more than</w:t>
      </w:r>
      <w:r>
        <w:t xml:space="preserve"> </w:t>
      </w:r>
      <w:r>
        <w:rPr>
          <w:b/>
          <w:bCs/>
        </w:rPr>
        <w:t xml:space="preserve">$70,000 of first-year spending per new customer</w:t>
      </w:r>
      <w:r>
        <w:t xml:space="preserve">, though this is a management projection rather than an independently disclosed operating KPI.</w:t>
      </w:r>
    </w:p>
    <w:p>
      <w:pPr>
        <w:pStyle w:val="FirstParagraph"/>
      </w:pPr>
      <w:r>
        <w:t xml:space="preserve">The product was opened more broadly in June, making Q2 the first report that can provide evidence about the general-availability launch.</w:t>
      </w:r>
    </w:p>
    <w:bookmarkStart w:id="11" w:name="what-investors-should-listen-for"/>
    <w:p>
      <w:pPr>
        <w:pStyle w:val="Heading3"/>
      </w:pPr>
      <w:r>
        <w:t xml:space="preserve">What investors should listen for</w:t>
      </w:r>
    </w:p>
    <w:p>
      <w:pPr>
        <w:pStyle w:val="Compact"/>
        <w:numPr>
          <w:ilvl w:val="0"/>
          <w:numId w:val="1003"/>
        </w:numPr>
      </w:pPr>
      <w:r>
        <w:t xml:space="preserve">Number or pace of new advertiser additions</w:t>
      </w:r>
    </w:p>
    <w:p>
      <w:pPr>
        <w:pStyle w:val="Compact"/>
        <w:numPr>
          <w:ilvl w:val="0"/>
          <w:numId w:val="1003"/>
        </w:numPr>
      </w:pPr>
      <w:r>
        <w:t xml:space="preserve">Activation rates after account creation</w:t>
      </w:r>
    </w:p>
    <w:p>
      <w:pPr>
        <w:pStyle w:val="Compact"/>
        <w:numPr>
          <w:ilvl w:val="0"/>
          <w:numId w:val="1003"/>
        </w:numPr>
      </w:pPr>
      <w:r>
        <w:t xml:space="preserve">Percentage of advertisers reaching 30 days of spending</w:t>
      </w:r>
    </w:p>
    <w:p>
      <w:pPr>
        <w:pStyle w:val="Compact"/>
        <w:numPr>
          <w:ilvl w:val="0"/>
          <w:numId w:val="1003"/>
        </w:numPr>
      </w:pPr>
      <w:r>
        <w:t xml:space="preserve">Growth in spending from mature customer cohorts</w:t>
      </w:r>
    </w:p>
    <w:p>
      <w:pPr>
        <w:pStyle w:val="Compact"/>
        <w:numPr>
          <w:ilvl w:val="0"/>
          <w:numId w:val="1003"/>
        </w:numPr>
      </w:pPr>
      <w:r>
        <w:t xml:space="preserve">Customer retention or net expansion</w:t>
      </w:r>
    </w:p>
    <w:p>
      <w:pPr>
        <w:pStyle w:val="Compact"/>
        <w:numPr>
          <w:ilvl w:val="0"/>
          <w:numId w:val="1003"/>
        </w:numPr>
      </w:pPr>
      <w:r>
        <w:t xml:space="preserve">Adoption of AI-generated video and interactive creative tools</w:t>
      </w:r>
    </w:p>
    <w:p>
      <w:pPr>
        <w:pStyle w:val="Compact"/>
        <w:numPr>
          <w:ilvl w:val="0"/>
          <w:numId w:val="1003"/>
        </w:numPr>
      </w:pPr>
      <w:r>
        <w:t xml:space="preserve">Geographic expansion beyond AppLovin’s primarily Western customer base</w:t>
      </w:r>
    </w:p>
    <w:p>
      <w:pPr>
        <w:pStyle w:val="Compact"/>
        <w:numPr>
          <w:ilvl w:val="0"/>
          <w:numId w:val="1003"/>
        </w:numPr>
      </w:pPr>
      <w:r>
        <w:t xml:space="preserve">Whether June and July spending accelerated after general availability</w:t>
      </w:r>
    </w:p>
    <w:p>
      <w:pPr>
        <w:pStyle w:val="FirstParagraph"/>
      </w:pPr>
      <w:r>
        <w:t xml:space="preserve">The company does not disclose consumer revenue separately, which makes management’s qualitative commentary unusually important.</w:t>
      </w:r>
    </w:p>
    <w:bookmarkEnd w:id="11"/>
    <w:bookmarkStart w:id="12" w:name="the-concern"/>
    <w:p>
      <w:pPr>
        <w:pStyle w:val="Heading3"/>
      </w:pPr>
      <w:r>
        <w:t xml:space="preserve">The concern</w:t>
      </w:r>
    </w:p>
    <w:p>
      <w:pPr>
        <w:pStyle w:val="FirstParagraph"/>
      </w:pPr>
      <w:r>
        <w:t xml:space="preserve">Third-party data cited in July suggested AppLovin added approximately</w:t>
      </w:r>
      <w:r>
        <w:t xml:space="preserve"> </w:t>
      </w:r>
      <w:r>
        <w:rPr>
          <w:b/>
          <w:bCs/>
        </w:rPr>
        <w:t xml:space="preserve">750 new e-commerce advertising pixels in June</w:t>
      </w:r>
      <w:r>
        <w:t xml:space="preserve">, down from roughly 950 in May. That contributed to a sharp selloff in the stock.</w:t>
      </w:r>
    </w:p>
    <w:p>
      <w:pPr>
        <w:pStyle w:val="BodyText"/>
      </w:pPr>
      <w:r>
        <w:t xml:space="preserve">The data should be interpreted cautiously: pixel installations are not equivalent to active customers, advertiser spending or revenue, and June included only the initial period of broad availability. Nevertheless, the report created a clear investor concern that onboarding may be slower than the most optimistic expectations.</w:t>
      </w:r>
    </w:p>
    <w:p>
      <w:pPr>
        <w:pStyle w:val="BodyText"/>
      </w:pPr>
      <w:r>
        <w:t xml:space="preserve">A strong report would address this directly—not necessarily by rebutting third-party data, but by providing first-party evidence that spending, retention and cohort expansion remain healthy.</w:t>
      </w:r>
    </w:p>
    <w:p>
      <w:r>
        <w:pict>
          <v:rect style="width:0;height:1.5pt" o:hralign="center" o:hrstd="t" o:hr="t"/>
        </w:pict>
      </w:r>
    </w:p>
    <w:bookmarkEnd w:id="12"/>
    <w:bookmarkEnd w:id="13"/>
    <w:bookmarkStart w:id="15" w:name="X3f6819bb856a44895dbbf7ecd9781dba6209642"/>
    <w:p>
      <w:pPr>
        <w:pStyle w:val="Heading2"/>
      </w:pPr>
      <w:r>
        <w:t xml:space="preserve">2. Gaming still needs to carry the quarter</w:t>
      </w:r>
    </w:p>
    <w:p>
      <w:pPr>
        <w:pStyle w:val="FirstParagraph"/>
      </w:pPr>
      <w:r>
        <w:t xml:space="preserve">Despite attention on e-commerce, gaming remains substantially larger and was still responsible for most of AppLovin’s growth entering Q2.</w:t>
      </w:r>
    </w:p>
    <w:p>
      <w:pPr>
        <w:pStyle w:val="BodyText"/>
      </w:pPr>
      <w:r>
        <w:t xml:space="preserve">Management said in May that it had not seen a material slowdown since launching Axon 2.0. It also reiterated a long-term gaming growth framework of</w:t>
      </w:r>
      <w:r>
        <w:t xml:space="preserve"> </w:t>
      </w:r>
      <w:r>
        <w:rPr>
          <w:b/>
          <w:bCs/>
        </w:rPr>
        <w:t xml:space="preserve">20%–30%</w:t>
      </w:r>
      <w:r>
        <w:t xml:space="preserve">, while noting that actual recent growth remained well above that range.</w:t>
      </w:r>
    </w:p>
    <w:p>
      <w:pPr>
        <w:pStyle w:val="BodyText"/>
      </w:pPr>
      <w:r>
        <w:t xml:space="preserve">Several factors are supporting the business:</w:t>
      </w:r>
    </w:p>
    <w:p>
      <w:pPr>
        <w:pStyle w:val="Compact"/>
        <w:numPr>
          <w:ilvl w:val="0"/>
          <w:numId w:val="1004"/>
        </w:numPr>
      </w:pPr>
      <w:r>
        <w:t xml:space="preserve">Continued improvements to Axon’s recommendation models</w:t>
      </w:r>
    </w:p>
    <w:p>
      <w:pPr>
        <w:pStyle w:val="Compact"/>
        <w:numPr>
          <w:ilvl w:val="0"/>
          <w:numId w:val="1004"/>
        </w:numPr>
      </w:pPr>
      <w:r>
        <w:t xml:space="preserve">Better advertiser returns, resulting in higher budgets</w:t>
      </w:r>
    </w:p>
    <w:p>
      <w:pPr>
        <w:pStyle w:val="Compact"/>
        <w:numPr>
          <w:ilvl w:val="0"/>
          <w:numId w:val="1004"/>
        </w:numPr>
      </w:pPr>
      <w:r>
        <w:t xml:space="preserve">AI tools lowering the cost of developing and testing games</w:t>
      </w:r>
    </w:p>
    <w:p>
      <w:pPr>
        <w:pStyle w:val="Compact"/>
        <w:numPr>
          <w:ilvl w:val="0"/>
          <w:numId w:val="1004"/>
        </w:numPr>
      </w:pPr>
      <w:r>
        <w:t xml:space="preserve">More studios adopting hybrid in-app-purchase and advertising models</w:t>
      </w:r>
    </w:p>
    <w:p>
      <w:pPr>
        <w:pStyle w:val="Compact"/>
        <w:numPr>
          <w:ilvl w:val="0"/>
          <w:numId w:val="1004"/>
        </w:numPr>
      </w:pPr>
      <w:r>
        <w:t xml:space="preserve">Additional non-gaming demand improving monetization of existing inventory</w:t>
      </w:r>
    </w:p>
    <w:p>
      <w:pPr>
        <w:pStyle w:val="Compact"/>
        <w:numPr>
          <w:ilvl w:val="0"/>
          <w:numId w:val="1004"/>
        </w:numPr>
      </w:pPr>
      <w:r>
        <w:t xml:space="preserve">Potential expansion of advertising into games that historically avoided game ads because of competitive concerns</w:t>
      </w:r>
    </w:p>
    <w:p>
      <w:pPr>
        <w:pStyle w:val="FirstParagraph"/>
      </w:pPr>
      <w:r>
        <w:t xml:space="preserve">The strongest confirmation would be that gaming continues to grow robustly even while consumer advertising scales. That would support management’s argument that new consumer demand is largely incremental rather than cannibalizing gaming advertisers.</w:t>
      </w:r>
    </w:p>
    <w:bookmarkStart w:id="14" w:name="a-useful-filing-level-metric"/>
    <w:p>
      <w:pPr>
        <w:pStyle w:val="Heading3"/>
      </w:pPr>
      <w:r>
        <w:t xml:space="preserve">A useful filing-level metric</w:t>
      </w:r>
    </w:p>
    <w:p>
      <w:pPr>
        <w:pStyle w:val="FirstParagraph"/>
      </w:pPr>
      <w:r>
        <w:t xml:space="preserve">In Q1, AppLovin reported that:</w:t>
      </w:r>
    </w:p>
    <w:p>
      <w:pPr>
        <w:pStyle w:val="Compact"/>
        <w:numPr>
          <w:ilvl w:val="0"/>
          <w:numId w:val="1005"/>
        </w:numPr>
      </w:pPr>
      <w:r>
        <w:rPr>
          <w:b/>
          <w:bCs/>
        </w:rPr>
        <w:t xml:space="preserve">Net revenue per installation rose 93%</w:t>
      </w:r>
    </w:p>
    <w:p>
      <w:pPr>
        <w:pStyle w:val="Compact"/>
        <w:numPr>
          <w:ilvl w:val="0"/>
          <w:numId w:val="1005"/>
        </w:numPr>
      </w:pPr>
      <w:r>
        <w:t xml:space="preserve">Installation volume declined</w:t>
      </w:r>
      <w:r>
        <w:t xml:space="preserve"> </w:t>
      </w:r>
      <w:r>
        <w:rPr>
          <w:b/>
          <w:bCs/>
        </w:rPr>
        <w:t xml:space="preserve">18%</w:t>
      </w:r>
    </w:p>
    <w:p>
      <w:pPr>
        <w:pStyle w:val="FirstParagraph"/>
      </w:pPr>
      <w:r>
        <w:t xml:space="preserve">That combination illustrates the power of Axon’s monetization improvements, but it also shows that growth is increasingly dependent on extracting significantly more value per transaction rather than on expanding underlying volume.</w:t>
      </w:r>
    </w:p>
    <w:p>
      <w:pPr>
        <w:pStyle w:val="BodyText"/>
      </w:pPr>
      <w:r>
        <w:t xml:space="preserve">Investors should watch whether Q2 commentary indicates continued model-driven gains without deterioration in installation volume, advertiser concentration or return on ad spend.</w:t>
      </w:r>
    </w:p>
    <w:p>
      <w:r>
        <w:pict>
          <v:rect style="width:0;height:1.5pt" o:hralign="center" o:hrstd="t" o:hr="t"/>
        </w:pict>
      </w:r>
    </w:p>
    <w:bookmarkEnd w:id="14"/>
    <w:bookmarkEnd w:id="15"/>
    <w:bookmarkStart w:id="17" w:name="Xf700a9d8258ea3056b5e07a7f4f8a5079a0d4d5"/>
    <w:p>
      <w:pPr>
        <w:pStyle w:val="Heading2"/>
      </w:pPr>
      <w:r>
        <w:t xml:space="preserve">3. The margin profile is exceptional—but leaves little room for error</w:t>
      </w:r>
    </w:p>
    <w:p>
      <w:pPr>
        <w:pStyle w:val="FirstParagraph"/>
      </w:pPr>
      <w:r>
        <w:t xml:space="preserve">AppLovin’s financial model is currently defined by extraordinary operating leverage:</w:t>
      </w:r>
    </w:p>
    <w:p>
      <w:pPr>
        <w:pStyle w:val="Compact"/>
        <w:numPr>
          <w:ilvl w:val="0"/>
          <w:numId w:val="1006"/>
        </w:numPr>
      </w:pPr>
      <w:r>
        <w:t xml:space="preserve">Q1 revenue growth:</w:t>
      </w:r>
      <w:r>
        <w:t xml:space="preserve"> </w:t>
      </w:r>
      <w:r>
        <w:rPr>
          <w:b/>
          <w:bCs/>
        </w:rPr>
        <w:t xml:space="preserve">59%</w:t>
      </w:r>
    </w:p>
    <w:p>
      <w:pPr>
        <w:pStyle w:val="Compact"/>
        <w:numPr>
          <w:ilvl w:val="0"/>
          <w:numId w:val="1006"/>
        </w:numPr>
      </w:pPr>
      <w:r>
        <w:t xml:space="preserve">Q1 adjusted EBITDA growth:</w:t>
      </w:r>
      <w:r>
        <w:t xml:space="preserve"> </w:t>
      </w:r>
      <w:r>
        <w:rPr>
          <w:b/>
          <w:bCs/>
        </w:rPr>
        <w:t xml:space="preserve">66%</w:t>
      </w:r>
    </w:p>
    <w:p>
      <w:pPr>
        <w:pStyle w:val="Compact"/>
        <w:numPr>
          <w:ilvl w:val="0"/>
          <w:numId w:val="1006"/>
        </w:numPr>
      </w:pPr>
      <w:r>
        <w:t xml:space="preserve">Q1 adjusted EBITDA margin:</w:t>
      </w:r>
      <w:r>
        <w:t xml:space="preserve"> </w:t>
      </w:r>
      <w:r>
        <w:rPr>
          <w:b/>
          <w:bCs/>
        </w:rPr>
        <w:t xml:space="preserve">84.5%</w:t>
      </w:r>
    </w:p>
    <w:p>
      <w:pPr>
        <w:pStyle w:val="Compact"/>
        <w:numPr>
          <w:ilvl w:val="0"/>
          <w:numId w:val="1006"/>
        </w:numPr>
      </w:pPr>
      <w:r>
        <w:t xml:space="preserve">Incremental sequential EBITDA flow-through: approximately</w:t>
      </w:r>
      <w:r>
        <w:t xml:space="preserve"> </w:t>
      </w:r>
      <w:r>
        <w:rPr>
          <w:b/>
          <w:bCs/>
        </w:rPr>
        <w:t xml:space="preserve">86%</w:t>
      </w:r>
    </w:p>
    <w:p>
      <w:pPr>
        <w:pStyle w:val="FirstParagraph"/>
      </w:pPr>
      <w:r>
        <w:t xml:space="preserve">Q2 guidance assumes margins remain around 84%–85%, despite incremental marketing and product investment surrounding the public Axon launch.</w:t>
      </w:r>
    </w:p>
    <w:p>
      <w:pPr>
        <w:pStyle w:val="BodyText"/>
      </w:pPr>
      <w:r>
        <w:t xml:space="preserve">Management previously said sales and marketing spending could increase after general availability. It framed that spending as performance marketing, with reported customer-acquisition payback of less than 30 days. If marketing expense rises while margins remain near 85%, that would indicate the underlying platform continues to generate substantial leverage.</w:t>
      </w:r>
    </w:p>
    <w:bookmarkStart w:id="16" w:name="items-to-watch"/>
    <w:p>
      <w:pPr>
        <w:pStyle w:val="Heading3"/>
      </w:pPr>
      <w:r>
        <w:t xml:space="preserve">Items to watch</w:t>
      </w:r>
    </w:p>
    <w:p>
      <w:pPr>
        <w:pStyle w:val="Compact"/>
        <w:numPr>
          <w:ilvl w:val="0"/>
          <w:numId w:val="1007"/>
        </w:numPr>
      </w:pPr>
      <w:r>
        <w:t xml:space="preserve">Cloud and GPU costs</w:t>
      </w:r>
    </w:p>
    <w:p>
      <w:pPr>
        <w:pStyle w:val="Compact"/>
        <w:numPr>
          <w:ilvl w:val="0"/>
          <w:numId w:val="1007"/>
        </w:numPr>
      </w:pPr>
      <w:r>
        <w:t xml:space="preserve">Growth in network-infrastructure expense</w:t>
      </w:r>
    </w:p>
    <w:p>
      <w:pPr>
        <w:pStyle w:val="Compact"/>
        <w:numPr>
          <w:ilvl w:val="0"/>
          <w:numId w:val="1007"/>
        </w:numPr>
      </w:pPr>
      <w:r>
        <w:t xml:space="preserve">Sales and marketing costs associated with Axon’s launch</w:t>
      </w:r>
    </w:p>
    <w:p>
      <w:pPr>
        <w:pStyle w:val="Compact"/>
        <w:numPr>
          <w:ilvl w:val="0"/>
          <w:numId w:val="1007"/>
        </w:numPr>
      </w:pPr>
      <w:r>
        <w:t xml:space="preserve">R&amp;D spending and stock-based compensation</w:t>
      </w:r>
    </w:p>
    <w:p>
      <w:pPr>
        <w:pStyle w:val="Compact"/>
        <w:numPr>
          <w:ilvl w:val="0"/>
          <w:numId w:val="1007"/>
        </w:numPr>
      </w:pPr>
      <w:r>
        <w:t xml:space="preserve">Costs of third-party generative-AI models</w:t>
      </w:r>
    </w:p>
    <w:p>
      <w:pPr>
        <w:pStyle w:val="Compact"/>
        <w:numPr>
          <w:ilvl w:val="0"/>
          <w:numId w:val="1007"/>
        </w:numPr>
      </w:pPr>
      <w:r>
        <w:t xml:space="preserve">Whether management still expects approximately</w:t>
      </w:r>
      <w:r>
        <w:t xml:space="preserve"> </w:t>
      </w:r>
      <w:r>
        <w:rPr>
          <w:b/>
          <w:bCs/>
        </w:rPr>
        <w:t xml:space="preserve">75% full-year free-cash-flow conversion from adjusted EBITDA</w:t>
      </w:r>
    </w:p>
    <w:p>
      <w:pPr>
        <w:pStyle w:val="FirstParagraph"/>
      </w:pPr>
      <w:r>
        <w:t xml:space="preserve">Investors should not annualize Q1’s unusually high free-cash-flow conversion. Management explicitly guided to weaker conversion in Q2 and Q3 because of tax-payment timing.</w:t>
      </w:r>
    </w:p>
    <w:p>
      <w:r>
        <w:pict>
          <v:rect style="width:0;height:1.5pt" o:hralign="center" o:hrstd="t" o:hr="t"/>
        </w:pict>
      </w:r>
    </w:p>
    <w:bookmarkEnd w:id="16"/>
    <w:bookmarkEnd w:id="17"/>
    <w:bookmarkStart w:id="18" w:name="X2aedfde5cfce32d7da8665df8087b8b992ee33f"/>
    <w:p>
      <w:pPr>
        <w:pStyle w:val="Heading2"/>
      </w:pPr>
      <w:r>
        <w:t xml:space="preserve">4. Guidance will matter more than the Q2 beat</w:t>
      </w:r>
    </w:p>
    <w:p>
      <w:pPr>
        <w:pStyle w:val="FirstParagraph"/>
      </w:pPr>
      <w:r>
        <w:t xml:space="preserve">AppLovin’s Q2 guidance already implies another quarter of exceptional growth. Consequently, the stock’s reaction is likely to depend primarily on the next-quarter outlook and management’s confidence in the second half.</w:t>
      </w:r>
    </w:p>
    <w:p>
      <w:pPr>
        <w:pStyle w:val="BodyText"/>
      </w:pPr>
      <w:r>
        <w:t xml:space="preserve">The most important elements will be:</w:t>
      </w:r>
    </w:p>
    <w:p>
      <w:pPr>
        <w:pStyle w:val="Compact"/>
        <w:numPr>
          <w:ilvl w:val="0"/>
          <w:numId w:val="1008"/>
        </w:numPr>
      </w:pPr>
      <w:r>
        <w:t xml:space="preserve">Whether revenue growth remains materially above the long-term gaming framework</w:t>
      </w:r>
    </w:p>
    <w:p>
      <w:pPr>
        <w:pStyle w:val="Compact"/>
        <w:numPr>
          <w:ilvl w:val="0"/>
          <w:numId w:val="1008"/>
        </w:numPr>
      </w:pPr>
      <w:r>
        <w:t xml:space="preserve">Whether consumer-advertiser growth is contributing meaningfully rather than remaining primarily a future opportunity</w:t>
      </w:r>
    </w:p>
    <w:p>
      <w:pPr>
        <w:pStyle w:val="Compact"/>
        <w:numPr>
          <w:ilvl w:val="0"/>
          <w:numId w:val="1008"/>
        </w:numPr>
      </w:pPr>
      <w:r>
        <w:t xml:space="preserve">Whether margins stay near 85%</w:t>
      </w:r>
    </w:p>
    <w:p>
      <w:pPr>
        <w:pStyle w:val="Compact"/>
        <w:numPr>
          <w:ilvl w:val="0"/>
          <w:numId w:val="1008"/>
        </w:numPr>
      </w:pPr>
      <w:r>
        <w:t xml:space="preserve">Whether management sees any change in advertiser returns or budget behavior</w:t>
      </w:r>
    </w:p>
    <w:p>
      <w:pPr>
        <w:pStyle w:val="Compact"/>
        <w:numPr>
          <w:ilvl w:val="0"/>
          <w:numId w:val="1008"/>
        </w:numPr>
      </w:pPr>
      <w:r>
        <w:t xml:space="preserve">Whether the public launch has increased onboarding friction, fraud, bad debt or support costs</w:t>
      </w:r>
    </w:p>
    <w:p>
      <w:pPr>
        <w:pStyle w:val="Compact"/>
        <w:numPr>
          <w:ilvl w:val="0"/>
          <w:numId w:val="1008"/>
        </w:numPr>
      </w:pPr>
      <w:r>
        <w:t xml:space="preserve">Whether customer-acquisition spending is producing the expected payback</w:t>
      </w:r>
    </w:p>
    <w:p>
      <w:pPr>
        <w:pStyle w:val="FirstParagraph"/>
      </w:pPr>
      <w:r>
        <w:t xml:space="preserve">A guide above normal seasonality, supported by both gaming and consumer momentum, would be more important than a modest Q2 revenue beat.</w:t>
      </w:r>
    </w:p>
    <w:p>
      <w:pPr>
        <w:pStyle w:val="BodyText"/>
      </w:pPr>
      <w:r>
        <w:t xml:space="preserve">Conversely, a Q2 beat paired with cautious guidance could reinforce concerns that recent growth was driven largely by pre-launch customer cohorts and Axon model releases rather than by scalable new-advertiser acquisition.</w:t>
      </w:r>
    </w:p>
    <w:p>
      <w:r>
        <w:pict>
          <v:rect style="width:0;height:1.5pt" o:hralign="center" o:hrstd="t" o:hr="t"/>
        </w:pict>
      </w:r>
    </w:p>
    <w:bookmarkEnd w:id="18"/>
    <w:bookmarkStart w:id="19" w:name="X94a21cf5a33478c86fa757416aa198a522af3df"/>
    <w:p>
      <w:pPr>
        <w:pStyle w:val="Heading2"/>
      </w:pPr>
      <w:r>
        <w:t xml:space="preserve">5. Capital returns remain a meaningful support</w:t>
      </w:r>
    </w:p>
    <w:p>
      <w:pPr>
        <w:pStyle w:val="FirstParagraph"/>
      </w:pPr>
      <w:r>
        <w:t xml:space="preserve">AppLovin entered Q2 with:</w:t>
      </w:r>
    </w:p>
    <w:p>
      <w:pPr>
        <w:pStyle w:val="Compact"/>
        <w:numPr>
          <w:ilvl w:val="0"/>
          <w:numId w:val="1009"/>
        </w:numPr>
      </w:pPr>
      <w:r>
        <w:rPr>
          <w:b/>
          <w:bCs/>
        </w:rPr>
        <w:t xml:space="preserve">$2.76 billion</w:t>
      </w:r>
      <w:r>
        <w:t xml:space="preserve"> </w:t>
      </w:r>
      <w:r>
        <w:t xml:space="preserve">of cash and equivalents</w:t>
      </w:r>
    </w:p>
    <w:p>
      <w:pPr>
        <w:pStyle w:val="Compact"/>
        <w:numPr>
          <w:ilvl w:val="0"/>
          <w:numId w:val="1009"/>
        </w:numPr>
      </w:pPr>
      <w:r>
        <w:t xml:space="preserve">Approximately</w:t>
      </w:r>
      <w:r>
        <w:t xml:space="preserve"> </w:t>
      </w:r>
      <w:r>
        <w:rPr>
          <w:b/>
          <w:bCs/>
        </w:rPr>
        <w:t xml:space="preserve">$3.6 billion</w:t>
      </w:r>
      <w:r>
        <w:t xml:space="preserve"> </w:t>
      </w:r>
      <w:r>
        <w:t xml:space="preserve">of senior notes</w:t>
      </w:r>
    </w:p>
    <w:p>
      <w:pPr>
        <w:pStyle w:val="Compact"/>
        <w:numPr>
          <w:ilvl w:val="0"/>
          <w:numId w:val="1009"/>
        </w:numPr>
      </w:pPr>
      <w:r>
        <w:t xml:space="preserve">No revolver borrowings</w:t>
      </w:r>
    </w:p>
    <w:p>
      <w:pPr>
        <w:pStyle w:val="Compact"/>
        <w:numPr>
          <w:ilvl w:val="0"/>
          <w:numId w:val="1009"/>
        </w:numPr>
      </w:pPr>
      <w:r>
        <w:t xml:space="preserve">Approximately</w:t>
      </w:r>
      <w:r>
        <w:t xml:space="preserve"> </w:t>
      </w:r>
      <w:r>
        <w:rPr>
          <w:b/>
          <w:bCs/>
        </w:rPr>
        <w:t xml:space="preserve">$2.3 billion</w:t>
      </w:r>
      <w:r>
        <w:t xml:space="preserve"> </w:t>
      </w:r>
      <w:r>
        <w:t xml:space="preserve">remaining under its repurchase authorization</w:t>
      </w:r>
    </w:p>
    <w:p>
      <w:pPr>
        <w:pStyle w:val="Compact"/>
        <w:numPr>
          <w:ilvl w:val="0"/>
          <w:numId w:val="1009"/>
        </w:numPr>
      </w:pPr>
      <w:r>
        <w:t xml:space="preserve">Approximately</w:t>
      </w:r>
      <w:r>
        <w:t xml:space="preserve"> </w:t>
      </w:r>
      <w:r>
        <w:rPr>
          <w:b/>
          <w:bCs/>
        </w:rPr>
        <w:t xml:space="preserve">336 million</w:t>
      </w:r>
      <w:r>
        <w:t xml:space="preserve"> </w:t>
      </w:r>
      <w:r>
        <w:t xml:space="preserve">shares outstanding</w:t>
      </w:r>
    </w:p>
    <w:p>
      <w:pPr>
        <w:pStyle w:val="FirstParagraph"/>
      </w:pPr>
      <w:r>
        <w:t xml:space="preserve">The company spent roughly</w:t>
      </w:r>
      <w:r>
        <w:t xml:space="preserve"> </w:t>
      </w:r>
      <m:oMath>
        <m:r>
          <m:t>1</m:t>
        </m:r>
        <m:r>
          <m:t>b</m:t>
        </m:r>
        <m:r>
          <m:t>i</m:t>
        </m:r>
        <m:r>
          <m:t>l</m:t>
        </m:r>
        <m:r>
          <m:t>l</m:t>
        </m:r>
        <m:r>
          <m:t>i</m:t>
        </m:r>
        <m:r>
          <m:t>o</m:t>
        </m:r>
        <m:r>
          <m:t>n</m:t>
        </m:r>
        <m:r>
          <m:rPr>
            <m:sty m:val="p"/>
          </m:rPr>
          <m:t>*</m:t>
        </m:r>
        <m:r>
          <m:rPr>
            <m:sty m:val="p"/>
          </m:rPr>
          <m:t>*</m:t>
        </m:r>
        <m:r>
          <m:t>r</m:t>
        </m:r>
        <m:r>
          <m:t>e</m:t>
        </m:r>
        <m:r>
          <m:t>p</m:t>
        </m:r>
        <m:r>
          <m:t>u</m:t>
        </m:r>
        <m:r>
          <m:t>r</m:t>
        </m:r>
        <m:r>
          <m:t>c</m:t>
        </m:r>
        <m:r>
          <m:t>h</m:t>
        </m:r>
        <m:r>
          <m:t>a</m:t>
        </m:r>
        <m:r>
          <m:t>s</m:t>
        </m:r>
        <m:r>
          <m:t>i</m:t>
        </m:r>
        <m:r>
          <m:t>n</m:t>
        </m:r>
        <m:r>
          <m:t>g</m:t>
        </m:r>
        <m:r>
          <m:t>s</m:t>
        </m:r>
        <m:r>
          <m:t>h</m:t>
        </m:r>
        <m:r>
          <m:t>a</m:t>
        </m:r>
        <m:r>
          <m:t>r</m:t>
        </m:r>
        <m:r>
          <m:t>e</m:t>
        </m:r>
        <m:r>
          <m:t>s</m:t>
        </m:r>
        <m:r>
          <m:t>i</m:t>
        </m:r>
        <m:r>
          <m:t>n</m:t>
        </m:r>
        <m:r>
          <m:t>Q</m:t>
        </m:r>
        <m:r>
          <m:t>1</m:t>
        </m:r>
        <m:r>
          <m:rPr>
            <m:sty m:val="p"/>
          </m:rPr>
          <m:t>,</m:t>
        </m:r>
        <m:r>
          <m:t>b</m:t>
        </m:r>
        <m:r>
          <m:t>u</m:t>
        </m:r>
        <m:r>
          <m:t>y</m:t>
        </m:r>
        <m:r>
          <m:t>i</m:t>
        </m:r>
        <m:r>
          <m:t>n</m:t>
        </m:r>
        <m:r>
          <m:t>g</m:t>
        </m:r>
        <m:r>
          <m:t>2.17</m:t>
        </m:r>
        <m:r>
          <m:t>m</m:t>
        </m:r>
        <m:r>
          <m:t>i</m:t>
        </m:r>
        <m:r>
          <m:t>l</m:t>
        </m:r>
        <m:r>
          <m:t>l</m:t>
        </m:r>
        <m:r>
          <m:t>i</m:t>
        </m:r>
        <m:r>
          <m:t>o</m:t>
        </m:r>
        <m:r>
          <m:t>n</m:t>
        </m:r>
        <m:r>
          <m:t>s</m:t>
        </m:r>
        <m:r>
          <m:t>h</m:t>
        </m:r>
        <m:r>
          <m:t>a</m:t>
        </m:r>
        <m:r>
          <m:t>r</m:t>
        </m:r>
        <m:r>
          <m:t>e</m:t>
        </m:r>
        <m:r>
          <m:t>s</m:t>
        </m:r>
        <m:r>
          <m:t>a</m:t>
        </m:r>
        <m:r>
          <m:t>t</m:t>
        </m:r>
        <m:r>
          <m:t>a</m:t>
        </m:r>
        <m:r>
          <m:t>n</m:t>
        </m:r>
        <m:r>
          <m:t>a</m:t>
        </m:r>
        <m:r>
          <m:t>v</m:t>
        </m:r>
        <m:r>
          <m:t>e</m:t>
        </m:r>
        <m:r>
          <m:t>r</m:t>
        </m:r>
        <m:r>
          <m:t>a</m:t>
        </m:r>
        <m:r>
          <m:t>g</m:t>
        </m:r>
        <m:r>
          <m:t>e</m:t>
        </m:r>
        <m:r>
          <m:t>p</m:t>
        </m:r>
        <m:r>
          <m:t>r</m:t>
        </m:r>
        <m:r>
          <m:t>i</m:t>
        </m:r>
        <m:r>
          <m:t>c</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461</w:t>
      </w:r>
      <w:r>
        <w:t xml:space="preserve">. APP closed August 4 at</w:t>
      </w:r>
      <w:r>
        <w:t xml:space="preserve"> </w:t>
      </w:r>
      <w:r>
        <w:rPr>
          <w:b/>
          <w:bCs/>
        </w:rPr>
        <w:t xml:space="preserve">$419.74</w:t>
      </w:r>
      <w:r>
        <w:t xml:space="preserve">, below that Q1 average purchase price.</w:t>
      </w:r>
    </w:p>
    <w:p>
      <w:pPr>
        <w:pStyle w:val="BodyText"/>
      </w:pPr>
      <w:r>
        <w:t xml:space="preserve">Investors should watch:</w:t>
      </w:r>
    </w:p>
    <w:p>
      <w:pPr>
        <w:pStyle w:val="Compact"/>
        <w:numPr>
          <w:ilvl w:val="0"/>
          <w:numId w:val="1010"/>
        </w:numPr>
      </w:pPr>
      <w:r>
        <w:t xml:space="preserve">Q2 repurchase volume</w:t>
      </w:r>
    </w:p>
    <w:p>
      <w:pPr>
        <w:pStyle w:val="Compact"/>
        <w:numPr>
          <w:ilvl w:val="0"/>
          <w:numId w:val="1010"/>
        </w:numPr>
      </w:pPr>
      <w:r>
        <w:t xml:space="preserve">Quarter-end diluted share count</w:t>
      </w:r>
    </w:p>
    <w:p>
      <w:pPr>
        <w:pStyle w:val="Compact"/>
        <w:numPr>
          <w:ilvl w:val="0"/>
          <w:numId w:val="1010"/>
        </w:numPr>
      </w:pPr>
      <w:r>
        <w:t xml:space="preserve">Whether repurchases continue to more than offset stock-based compensation</w:t>
      </w:r>
    </w:p>
    <w:p>
      <w:pPr>
        <w:pStyle w:val="Compact"/>
        <w:numPr>
          <w:ilvl w:val="0"/>
          <w:numId w:val="1010"/>
        </w:numPr>
      </w:pPr>
      <w:r>
        <w:t xml:space="preserve">Any increase to the authorization</w:t>
      </w:r>
    </w:p>
    <w:p>
      <w:pPr>
        <w:pStyle w:val="Compact"/>
        <w:numPr>
          <w:ilvl w:val="0"/>
          <w:numId w:val="1010"/>
        </w:numPr>
      </w:pPr>
      <w:r>
        <w:t xml:space="preserve">Management’s willingness to accelerate purchases following the recent decline</w:t>
      </w:r>
    </w:p>
    <w:p>
      <w:pPr>
        <w:pStyle w:val="FirstParagraph"/>
      </w:pPr>
      <w:r>
        <w:t xml:space="preserve">The buyback is valuable because of AppLovin’s cash generation, but investors should still judge it against the price paid and the opportunity cost of deploying capital elsewhere.</w:t>
      </w:r>
    </w:p>
    <w:p>
      <w:r>
        <w:pict>
          <v:rect style="width:0;height:1.5pt" o:hralign="center" o:hrstd="t" o:hr="t"/>
        </w:pict>
      </w:r>
    </w:p>
    <w:bookmarkEnd w:id="19"/>
    <w:bookmarkStart w:id="20" w:name="X8f8f4006dfd3f9fa95722c6274fc84d7898e73f"/>
    <w:p>
      <w:pPr>
        <w:pStyle w:val="Heading2"/>
      </w:pPr>
      <w:r>
        <w:t xml:space="preserve">6. Valuation and stock setup</w:t>
      </w:r>
    </w:p>
    <w:p>
      <w:pPr>
        <w:pStyle w:val="FirstParagraph"/>
      </w:pPr>
      <w:r>
        <w:t xml:space="preserve">APP closed August 4 at</w:t>
      </w:r>
      <w:r>
        <w:t xml:space="preserve"> </w:t>
      </w:r>
      <w:r>
        <w:rPr>
          <w:b/>
          <w:bCs/>
        </w:rPr>
        <w:t xml:space="preserve">$419.74</w:t>
      </w:r>
      <w:r>
        <w:t xml:space="preserve">, approximately:</w:t>
      </w:r>
    </w:p>
    <w:p>
      <w:pPr>
        <w:pStyle w:val="Compact"/>
        <w:numPr>
          <w:ilvl w:val="0"/>
          <w:numId w:val="1011"/>
        </w:numPr>
      </w:pPr>
      <w:r>
        <w:rPr>
          <w:b/>
          <w:bCs/>
        </w:rPr>
        <w:t xml:space="preserve">32% below</w:t>
      </w:r>
      <w:r>
        <w:t xml:space="preserve"> </w:t>
      </w:r>
      <w:r>
        <w:t xml:space="preserve">its January 2 closing price</w:t>
      </w:r>
    </w:p>
    <w:p>
      <w:pPr>
        <w:pStyle w:val="Compact"/>
        <w:numPr>
          <w:ilvl w:val="0"/>
          <w:numId w:val="1011"/>
        </w:numPr>
      </w:pPr>
      <w:r>
        <w:rPr>
          <w:b/>
          <w:bCs/>
        </w:rPr>
        <w:t xml:space="preserve">32% below</w:t>
      </w:r>
      <w:r>
        <w:t xml:space="preserve"> </w:t>
      </w:r>
      <w:r>
        <w:t xml:space="preserve">its early-June level</w:t>
      </w:r>
    </w:p>
    <w:p>
      <w:pPr>
        <w:pStyle w:val="Compact"/>
        <w:numPr>
          <w:ilvl w:val="0"/>
          <w:numId w:val="1011"/>
        </w:numPr>
      </w:pPr>
      <w:r>
        <w:t xml:space="preserve">Equivalent to an equity value of roughly</w:t>
      </w:r>
      <w:r>
        <w:t xml:space="preserve"> </w:t>
      </w:r>
      <w:r>
        <w:rPr>
          <w:b/>
          <w:bCs/>
        </w:rPr>
        <w:t xml:space="preserve">$141 billion</w:t>
      </w:r>
      <w:r>
        <w:t xml:space="preserve">, using Q1’s outstanding share count</w:t>
      </w:r>
    </w:p>
    <w:p>
      <w:pPr>
        <w:pStyle w:val="FirstParagraph"/>
      </w:pPr>
      <w:r>
        <w:t xml:space="preserve">On a simplified annualization of Q2 expectations, the stock trades near:</w:t>
      </w:r>
    </w:p>
    <w:p>
      <w:pPr>
        <w:pStyle w:val="Compact"/>
        <w:numPr>
          <w:ilvl w:val="0"/>
          <w:numId w:val="1012"/>
        </w:numPr>
      </w:pPr>
      <w:r>
        <w:rPr>
          <w:b/>
          <w:bCs/>
        </w:rPr>
        <w:t xml:space="preserve">22× enterprise value/annualized adjusted EBITDA</w:t>
      </w:r>
    </w:p>
    <w:p>
      <w:pPr>
        <w:pStyle w:val="Compact"/>
        <w:numPr>
          <w:ilvl w:val="0"/>
          <w:numId w:val="1012"/>
        </w:numPr>
      </w:pPr>
      <w:r>
        <w:rPr>
          <w:b/>
          <w:bCs/>
        </w:rPr>
        <w:t xml:space="preserve">18× enterprise value/annualized revenue</w:t>
      </w:r>
    </w:p>
    <w:p>
      <w:pPr>
        <w:pStyle w:val="FirstParagraph"/>
      </w:pPr>
      <w:r>
        <w:t xml:space="preserve">These are not formal forward-consensus multiples, but they illustrate the setup: AppLovin is no longer valued at its recent peak, yet it still carries a substantial premium that requires rapid growth, resilient advertiser economics and unusually high margins.</w:t>
      </w:r>
    </w:p>
    <w:p>
      <w:pPr>
        <w:pStyle w:val="BodyText"/>
      </w:pPr>
      <w:r>
        <w:t xml:space="preserve">The decline reduces the risk of a merely good report, but it does not make the valuation forgiving of a genuine slowdown.</w:t>
      </w:r>
    </w:p>
    <w:p>
      <w:r>
        <w:pict>
          <v:rect style="width:0;height:1.5pt" o:hralign="center" o:hrstd="t" o:hr="t"/>
        </w:pict>
      </w:r>
    </w:p>
    <w:bookmarkEnd w:id="20"/>
    <w:bookmarkStart w:id="21" w:name="X5769feaf0b6e90c2b7fa36c7257c73ade070c2e"/>
    <w:p>
      <w:pPr>
        <w:pStyle w:val="Heading2"/>
      </w:pPr>
      <w:r>
        <w:t xml:space="preserve">7. Key questions for management</w:t>
      </w:r>
    </w:p>
    <w:p>
      <w:pPr>
        <w:pStyle w:val="FirstParagraph"/>
      </w:pPr>
      <w:r>
        <w:t xml:space="preserve">The following questions would provide the most useful information:</w:t>
      </w:r>
    </w:p>
    <w:p>
      <w:pPr>
        <w:pStyle w:val="Compact"/>
        <w:numPr>
          <w:ilvl w:val="0"/>
          <w:numId w:val="1013"/>
        </w:numPr>
      </w:pPr>
      <w:r>
        <w:rPr>
          <w:b/>
          <w:bCs/>
        </w:rPr>
        <w:t xml:space="preserve">How did consumer-advertiser spending progress through May, June and July?</w:t>
      </w:r>
    </w:p>
    <w:p>
      <w:pPr>
        <w:pStyle w:val="Compact"/>
        <w:numPr>
          <w:ilvl w:val="0"/>
          <w:numId w:val="1013"/>
        </w:numPr>
      </w:pPr>
      <w:r>
        <w:rPr>
          <w:b/>
          <w:bCs/>
        </w:rPr>
        <w:t xml:space="preserve">How many advertisers have signed up, activated and reached 30 days of spending since general availability?</w:t>
      </w:r>
    </w:p>
    <w:p>
      <w:pPr>
        <w:pStyle w:val="Compact"/>
        <w:numPr>
          <w:ilvl w:val="0"/>
          <w:numId w:val="1013"/>
        </w:numPr>
      </w:pPr>
      <w:r>
        <w:rPr>
          <w:b/>
          <w:bCs/>
        </w:rPr>
        <w:t xml:space="preserve">Is spending growth still being driven primarily by existing cohorts, or are new cohorts becoming material?</w:t>
      </w:r>
    </w:p>
    <w:p>
      <w:pPr>
        <w:pStyle w:val="Compact"/>
        <w:numPr>
          <w:ilvl w:val="0"/>
          <w:numId w:val="1013"/>
        </w:numPr>
      </w:pPr>
      <w:r>
        <w:rPr>
          <w:b/>
          <w:bCs/>
        </w:rPr>
        <w:t xml:space="preserve">Has management observed slower customer onboarding than expected?</w:t>
      </w:r>
    </w:p>
    <w:p>
      <w:pPr>
        <w:pStyle w:val="Compact"/>
        <w:numPr>
          <w:ilvl w:val="0"/>
          <w:numId w:val="1013"/>
        </w:numPr>
      </w:pPr>
      <w:r>
        <w:rPr>
          <w:b/>
          <w:bCs/>
        </w:rPr>
        <w:t xml:space="preserve">How much of Q2 growth came from gaming versus consumer advertising?</w:t>
      </w:r>
    </w:p>
    <w:p>
      <w:pPr>
        <w:pStyle w:val="Compact"/>
        <w:numPr>
          <w:ilvl w:val="0"/>
          <w:numId w:val="1013"/>
        </w:numPr>
      </w:pPr>
      <w:r>
        <w:rPr>
          <w:b/>
          <w:bCs/>
        </w:rPr>
        <w:t xml:space="preserve">Is gaming growth still running above the previously discussed 20%–30% long-term range?</w:t>
      </w:r>
    </w:p>
    <w:p>
      <w:pPr>
        <w:pStyle w:val="Compact"/>
        <w:numPr>
          <w:ilvl w:val="0"/>
          <w:numId w:val="1013"/>
        </w:numPr>
      </w:pPr>
      <w:r>
        <w:rPr>
          <w:b/>
          <w:bCs/>
        </w:rPr>
        <w:t xml:space="preserve">Are consumer ads creating any auction-price pressure or cannibalization for gaming advertisers?</w:t>
      </w:r>
    </w:p>
    <w:p>
      <w:pPr>
        <w:pStyle w:val="Compact"/>
        <w:numPr>
          <w:ilvl w:val="0"/>
          <w:numId w:val="1013"/>
        </w:numPr>
      </w:pPr>
      <w:r>
        <w:rPr>
          <w:b/>
          <w:bCs/>
        </w:rPr>
        <w:t xml:space="preserve">What effect have AI-generated video tools had on activation, retention and advertiser budgets?</w:t>
      </w:r>
    </w:p>
    <w:p>
      <w:pPr>
        <w:pStyle w:val="Compact"/>
        <w:numPr>
          <w:ilvl w:val="0"/>
          <w:numId w:val="1013"/>
        </w:numPr>
      </w:pPr>
      <w:r>
        <w:rPr>
          <w:b/>
          <w:bCs/>
        </w:rPr>
        <w:t xml:space="preserve">Does the approximately $70,000 first-year customer-value estimate still hold for newer self-serve cohorts?</w:t>
      </w:r>
    </w:p>
    <w:p>
      <w:pPr>
        <w:pStyle w:val="Compact"/>
        <w:numPr>
          <w:ilvl w:val="0"/>
          <w:numId w:val="1013"/>
        </w:numPr>
      </w:pPr>
      <w:r>
        <w:rPr>
          <w:b/>
          <w:bCs/>
        </w:rPr>
        <w:t xml:space="preserve">How should investors model free-cash-flow conversion and repurchases for the second half?</w:t>
      </w:r>
    </w:p>
    <w:p>
      <w:r>
        <w:pict>
          <v:rect style="width:0;height:1.5pt" o:hralign="center" o:hrstd="t" o:hr="t"/>
        </w:pict>
      </w:r>
    </w:p>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14"/>
        </w:numPr>
      </w:pPr>
      <w:r>
        <w:t xml:space="preserve">Revenue and EBITDA exceed the high end of guidance.</w:t>
      </w:r>
    </w:p>
    <w:p>
      <w:pPr>
        <w:pStyle w:val="Compact"/>
        <w:numPr>
          <w:ilvl w:val="0"/>
          <w:numId w:val="1014"/>
        </w:numPr>
      </w:pPr>
      <w:r>
        <w:t xml:space="preserve">Gaming growth remains substantially above its long-term framework.</w:t>
      </w:r>
    </w:p>
    <w:p>
      <w:pPr>
        <w:pStyle w:val="Compact"/>
        <w:numPr>
          <w:ilvl w:val="0"/>
          <w:numId w:val="1014"/>
        </w:numPr>
      </w:pPr>
      <w:r>
        <w:t xml:space="preserve">Management provides clear evidence that consumer spending accelerated following the June launch.</w:t>
      </w:r>
    </w:p>
    <w:p>
      <w:pPr>
        <w:pStyle w:val="Compact"/>
        <w:numPr>
          <w:ilvl w:val="0"/>
          <w:numId w:val="1014"/>
        </w:numPr>
      </w:pPr>
      <w:r>
        <w:t xml:space="preserve">Existing cohorts continue expanding while new-customer activation improves.</w:t>
      </w:r>
    </w:p>
    <w:p>
      <w:pPr>
        <w:pStyle w:val="Compact"/>
        <w:numPr>
          <w:ilvl w:val="0"/>
          <w:numId w:val="1014"/>
        </w:numPr>
      </w:pPr>
      <w:r>
        <w:t xml:space="preserve">Q3 guidance implies sustained strong growth with margins near 85%.</w:t>
      </w:r>
    </w:p>
    <w:p>
      <w:pPr>
        <w:pStyle w:val="Compact"/>
        <w:numPr>
          <w:ilvl w:val="0"/>
          <w:numId w:val="1014"/>
        </w:numPr>
      </w:pPr>
      <w:r>
        <w:t xml:space="preserve">Buybacks remain aggressive.</w:t>
      </w:r>
    </w:p>
    <w:p>
      <w:pPr>
        <w:pStyle w:val="FirstParagraph"/>
      </w:pPr>
      <w:r>
        <w:t xml:space="preserve">This would challenge the thesis that e-commerce growth is slowing and could drive a meaningful re-rating.</w:t>
      </w:r>
    </w:p>
    <w:bookmarkEnd w:id="22"/>
    <w:bookmarkStart w:id="23" w:name="base-case"/>
    <w:p>
      <w:pPr>
        <w:pStyle w:val="Heading3"/>
      </w:pPr>
      <w:r>
        <w:t xml:space="preserve">Base case</w:t>
      </w:r>
    </w:p>
    <w:p>
      <w:pPr>
        <w:pStyle w:val="Compact"/>
        <w:numPr>
          <w:ilvl w:val="0"/>
          <w:numId w:val="1015"/>
        </w:numPr>
      </w:pPr>
      <w:r>
        <w:t xml:space="preserve">Results land near or modestly above the high end.</w:t>
      </w:r>
    </w:p>
    <w:p>
      <w:pPr>
        <w:pStyle w:val="Compact"/>
        <w:numPr>
          <w:ilvl w:val="0"/>
          <w:numId w:val="1015"/>
        </w:numPr>
      </w:pPr>
      <w:r>
        <w:t xml:space="preserve">Gaming remains strong.</w:t>
      </w:r>
    </w:p>
    <w:p>
      <w:pPr>
        <w:pStyle w:val="Compact"/>
        <w:numPr>
          <w:ilvl w:val="0"/>
          <w:numId w:val="1015"/>
        </w:numPr>
      </w:pPr>
      <w:r>
        <w:t xml:space="preserve">Consumer commentary is positive but largely qualitative, with limited financial disclosure.</w:t>
      </w:r>
    </w:p>
    <w:p>
      <w:pPr>
        <w:pStyle w:val="Compact"/>
        <w:numPr>
          <w:ilvl w:val="0"/>
          <w:numId w:val="1015"/>
        </w:numPr>
      </w:pPr>
      <w:r>
        <w:t xml:space="preserve">Q3 guidance supports continued growth but not a major acceleration.</w:t>
      </w:r>
    </w:p>
    <w:p>
      <w:pPr>
        <w:pStyle w:val="Compact"/>
        <w:numPr>
          <w:ilvl w:val="0"/>
          <w:numId w:val="1015"/>
        </w:numPr>
      </w:pPr>
      <w:r>
        <w:t xml:space="preserve">Margins remain in the mid-80% range.</w:t>
      </w:r>
    </w:p>
    <w:p>
      <w:pPr>
        <w:pStyle w:val="FirstParagraph"/>
      </w:pPr>
      <w:r>
        <w:t xml:space="preserve">The stock reaction could be muted or volatile because investors are likely looking for first-party validation of the consumer rollout, not simply another in-line quarter.</w:t>
      </w:r>
    </w:p>
    <w:bookmarkEnd w:id="23"/>
    <w:bookmarkStart w:id="24" w:name="bear-case"/>
    <w:p>
      <w:pPr>
        <w:pStyle w:val="Heading3"/>
      </w:pPr>
      <w:r>
        <w:t xml:space="preserve">Bear case</w:t>
      </w:r>
    </w:p>
    <w:p>
      <w:pPr>
        <w:pStyle w:val="Compact"/>
        <w:numPr>
          <w:ilvl w:val="0"/>
          <w:numId w:val="1016"/>
        </w:numPr>
      </w:pPr>
      <w:r>
        <w:t xml:space="preserve">Revenue or EBITDA misses guidance—or only meets guidance after a long series of beats.</w:t>
      </w:r>
    </w:p>
    <w:p>
      <w:pPr>
        <w:pStyle w:val="Compact"/>
        <w:numPr>
          <w:ilvl w:val="0"/>
          <w:numId w:val="1016"/>
        </w:numPr>
      </w:pPr>
      <w:r>
        <w:t xml:space="preserve">Management acknowledges slower consumer onboarding, activation or spending.</w:t>
      </w:r>
    </w:p>
    <w:p>
      <w:pPr>
        <w:pStyle w:val="Compact"/>
        <w:numPr>
          <w:ilvl w:val="0"/>
          <w:numId w:val="1016"/>
        </w:numPr>
      </w:pPr>
      <w:r>
        <w:t xml:space="preserve">Gaming growth begins converging rapidly toward the 20%–30% long-term framework.</w:t>
      </w:r>
    </w:p>
    <w:p>
      <w:pPr>
        <w:pStyle w:val="Compact"/>
        <w:numPr>
          <w:ilvl w:val="0"/>
          <w:numId w:val="1016"/>
        </w:numPr>
      </w:pPr>
      <w:r>
        <w:t xml:space="preserve">Marketing and infrastructure investment pressure margins.</w:t>
      </w:r>
    </w:p>
    <w:p>
      <w:pPr>
        <w:pStyle w:val="Compact"/>
        <w:numPr>
          <w:ilvl w:val="0"/>
          <w:numId w:val="1016"/>
        </w:numPr>
      </w:pPr>
      <w:r>
        <w:t xml:space="preserve">Q3 guidance indicates a material sequential slowdown.</w:t>
      </w:r>
    </w:p>
    <w:p>
      <w:pPr>
        <w:pStyle w:val="Compact"/>
        <w:numPr>
          <w:ilvl w:val="0"/>
          <w:numId w:val="1016"/>
        </w:numPr>
      </w:pPr>
      <w:r>
        <w:t xml:space="preserve">Repurchases decelerate despite the lower stock price.</w:t>
      </w:r>
    </w:p>
    <w:p>
      <w:pPr>
        <w:pStyle w:val="FirstParagraph"/>
      </w:pPr>
      <w:r>
        <w:t xml:space="preserve">This would raise questions about whether the consumer opportunity can become material quickly enough to support the valuation.</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APP enters Q2 earnings with a cleaner setup than it had near its June highs, but the report still has a high bar.</w:t>
      </w:r>
    </w:p>
    <w:p>
      <w:pPr>
        <w:pStyle w:val="BodyText"/>
      </w:pPr>
      <w:r>
        <w:t xml:space="preserve">A revenue and EBITDA beat would confirm that the existing Axon engine remains strong. To change the debate around the stock, however, management needs to demonstrate that the</w:t>
      </w:r>
      <w:r>
        <w:t xml:space="preserve"> </w:t>
      </w:r>
      <w:r>
        <w:rPr>
          <w:b/>
          <w:bCs/>
        </w:rPr>
        <w:t xml:space="preserve">public consumer-advertising rollout is producing active, durable advertiser spending—not merely account sign-ups or pixel installations</w:t>
      </w:r>
      <w:r>
        <w:t xml:space="preserve">.</w:t>
      </w:r>
    </w:p>
    <w:p>
      <w:pPr>
        <w:pStyle w:val="BodyText"/>
      </w:pPr>
      <w:r>
        <w:t xml:space="preserve">The best outcome is a combination of:</w:t>
      </w:r>
    </w:p>
    <w:p>
      <w:pPr>
        <w:pStyle w:val="Compact"/>
        <w:numPr>
          <w:ilvl w:val="0"/>
          <w:numId w:val="1017"/>
        </w:numPr>
      </w:pPr>
      <w:r>
        <w:t xml:space="preserve">Continued outsized gaming growth</w:t>
      </w:r>
    </w:p>
    <w:p>
      <w:pPr>
        <w:pStyle w:val="Compact"/>
        <w:numPr>
          <w:ilvl w:val="0"/>
          <w:numId w:val="1017"/>
        </w:numPr>
      </w:pPr>
      <w:r>
        <w:t xml:space="preserve">Measurable consumer cohort expansion</w:t>
      </w:r>
    </w:p>
    <w:p>
      <w:pPr>
        <w:pStyle w:val="Compact"/>
        <w:numPr>
          <w:ilvl w:val="0"/>
          <w:numId w:val="1017"/>
        </w:numPr>
      </w:pPr>
      <w:r>
        <w:t xml:space="preserve">Approximately 85% EBITDA margins</w:t>
      </w:r>
    </w:p>
    <w:p>
      <w:pPr>
        <w:pStyle w:val="Compact"/>
        <w:numPr>
          <w:ilvl w:val="0"/>
          <w:numId w:val="1017"/>
        </w:numPr>
      </w:pPr>
      <w:r>
        <w:t xml:space="preserve">Strong second-half guidance</w:t>
      </w:r>
    </w:p>
    <w:p>
      <w:pPr>
        <w:pStyle w:val="Compact"/>
        <w:numPr>
          <w:ilvl w:val="0"/>
          <w:numId w:val="1017"/>
        </w:numPr>
      </w:pPr>
      <w:r>
        <w:t xml:space="preserve">Continued share-count reduction</w:t>
      </w:r>
    </w:p>
    <w:p>
      <w:pPr>
        <w:pStyle w:val="FirstParagraph"/>
      </w:pPr>
      <w:r>
        <w:t xml:space="preserve">The principal risk is not an abrupt collapse in the core business. It is that consumer scaling proves slower than bullish expectations while gaming growth begins normalizing, leaving a still-premium valuation without a sufficiently large new catalyst.</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2026-08-05T01:09:23Z</dcterms:created>
  <dcterms:modified xsi:type="dcterms:W3CDTF">2026-08-05T01:09:23Z</dcterms:modified>
</cp:coreProperties>
</file>

<file path=docProps/custom.xml><?xml version="1.0" encoding="utf-8"?>
<Properties xmlns="http://schemas.openxmlformats.org/officeDocument/2006/custom-properties" xmlns:vt="http://schemas.openxmlformats.org/officeDocument/2006/docPropsVTypes"/>
</file>