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ec29def81629061f4d8cc99751e9bfa8ee04beb"/>
    <w:p>
      <w:pPr>
        <w:pStyle w:val="Heading1"/>
      </w:pPr>
      <w:r>
        <w:t xml:space="preserve">AppLovin (NASDAQ: APP) — 2Q26 Earnings Preview</w:t>
      </w:r>
    </w:p>
    <w:p>
      <w:pPr>
        <w:pStyle w:val="BlockText"/>
      </w:pPr>
      <w:r>
        <w:rPr>
          <w:b/>
          <w:bCs/>
        </w:rPr>
        <w:t xml:space="preserve">Timing note:</w:t>
      </w:r>
      <w:r>
        <w:t xml:space="preserve"> </w:t>
      </w:r>
      <w:r>
        <w:t xml:space="preserve">Today is</w:t>
      </w:r>
      <w:r>
        <w:t xml:space="preserve"> </w:t>
      </w:r>
      <w:r>
        <w:rPr>
          <w:b/>
          <w:bCs/>
        </w:rPr>
        <w:t xml:space="preserve">Wednesday, August 5, 2026</w:t>
      </w:r>
      <w:r>
        <w:t xml:space="preserve">. APP is scheduled to report</w:t>
      </w:r>
      <w:r>
        <w:t xml:space="preserve"> </w:t>
      </w:r>
      <w:r>
        <w:rPr>
          <w:b/>
          <w:bCs/>
        </w:rPr>
        <w:t xml:space="preserve">after the U.S. market close today</w:t>
      </w:r>
      <w:r>
        <w:t xml:space="preserve">, not tomorrow.</w:t>
      </w:r>
    </w:p>
    <w:bookmarkStart w:id="9" w:name="bottom-line"/>
    <w:p>
      <w:pPr>
        <w:pStyle w:val="Heading2"/>
      </w:pPr>
      <w:r>
        <w:t xml:space="preserve">Bottom line</w:t>
      </w:r>
    </w:p>
    <w:p>
      <w:pPr>
        <w:pStyle w:val="FirstParagraph"/>
      </w:pPr>
      <w:r>
        <w:t xml:space="preserve">AppLovin enters 2Q26 earnings as a</w:t>
      </w:r>
      <w:r>
        <w:t xml:space="preserve"> </w:t>
      </w:r>
      <w:r>
        <w:rPr>
          <w:b/>
          <w:bCs/>
        </w:rPr>
        <w:t xml:space="preserve">fundamentally strong but highly scrutinized execution story</w:t>
      </w:r>
      <w:r>
        <w:t xml:space="preserve">. The company’s core gaming advertising platform continues to produce exceptional growth, margins, and cash generation. The incremental debate is whether its newer</w:t>
      </w:r>
      <w:r>
        <w:t xml:space="preserve"> </w:t>
      </w:r>
      <w:r>
        <w:rPr>
          <w:b/>
          <w:bCs/>
        </w:rPr>
        <w:t xml:space="preserve">consumer / e-commerce advertising</w:t>
      </w:r>
      <w:r>
        <w:t xml:space="preserve"> </w:t>
      </w:r>
      <w:r>
        <w:t xml:space="preserve">business can sustain the rapid scaling implied by management’s long-term opportunity—and whether June data suggesting a slower pace of e-commerce advertiser onboarding is simply early self-serve launch noise or a sign that the growth curve is moderating.</w:t>
      </w:r>
    </w:p>
    <w:p>
      <w:pPr>
        <w:pStyle w:val="BodyText"/>
      </w:pPr>
      <w:r>
        <w:t xml:space="preserve">For this print, a modest revenue/EBITDA beat likely will not be enough on its own. The stock’s reaction should be driven primarily by:</w:t>
      </w:r>
    </w:p>
    <w:p>
      <w:pPr>
        <w:pStyle w:val="Compact"/>
        <w:numPr>
          <w:ilvl w:val="0"/>
          <w:numId w:val="1001"/>
        </w:numPr>
      </w:pPr>
      <w:r>
        <w:rPr>
          <w:b/>
          <w:bCs/>
        </w:rPr>
        <w:t xml:space="preserve">3Q26 revenue and EBITDA guidance</w:t>
      </w:r>
    </w:p>
    <w:p>
      <w:pPr>
        <w:pStyle w:val="Compact"/>
        <w:numPr>
          <w:ilvl w:val="0"/>
          <w:numId w:val="1001"/>
        </w:numPr>
      </w:pPr>
      <w:r>
        <w:rPr>
          <w:b/>
          <w:bCs/>
        </w:rPr>
        <w:t xml:space="preserve">Evidence of consumer-advertiser spend accelerating after the June self-serve launch</w:t>
      </w:r>
    </w:p>
    <w:p>
      <w:pPr>
        <w:pStyle w:val="Compact"/>
        <w:numPr>
          <w:ilvl w:val="0"/>
          <w:numId w:val="1001"/>
        </w:numPr>
      </w:pPr>
      <w:r>
        <w:rPr>
          <w:b/>
          <w:bCs/>
        </w:rPr>
        <w:t xml:space="preserve">Continued gaming growth and model-improvement cadence</w:t>
      </w:r>
    </w:p>
    <w:p>
      <w:pPr>
        <w:pStyle w:val="Compact"/>
        <w:numPr>
          <w:ilvl w:val="0"/>
          <w:numId w:val="1001"/>
        </w:numPr>
      </w:pPr>
      <w:r>
        <w:rPr>
          <w:b/>
          <w:bCs/>
        </w:rPr>
        <w:t xml:space="preserve">Margin durability amid higher go-to-market, creative-tool, and infrastructure investments</w:t>
      </w:r>
    </w:p>
    <w:p>
      <w:pPr>
        <w:pStyle w:val="Compact"/>
        <w:numPr>
          <w:ilvl w:val="0"/>
          <w:numId w:val="1001"/>
        </w:numPr>
      </w:pPr>
      <w:r>
        <w:rPr>
          <w:b/>
          <w:bCs/>
        </w:rPr>
        <w:t xml:space="preserve">Management’s credibility on the size and timing of new supply and demand opportunities</w:t>
      </w:r>
    </w:p>
    <w:p>
      <w:pPr>
        <w:pStyle w:val="FirstParagraph"/>
      </w:pPr>
      <w:r>
        <w:t xml:space="preserve">APP closed at</w:t>
      </w:r>
      <w:r>
        <w:t xml:space="preserve"> </w:t>
      </w:r>
      <w:r>
        <w:rPr>
          <w:b/>
          <w:bCs/>
        </w:rPr>
        <w:t xml:space="preserve">$419.74 on August 4</w:t>
      </w:r>
      <w:r>
        <w:t xml:space="preserve">, down roughly</w:t>
      </w:r>
      <w:r>
        <w:t xml:space="preserve"> </w:t>
      </w:r>
      <w:r>
        <w:rPr>
          <w:b/>
          <w:bCs/>
        </w:rPr>
        <w:t xml:space="preserve">25.7% from $564.61 on July 1</w:t>
      </w:r>
      <w:r>
        <w:t xml:space="preserve">. That pullback has reduced expectations somewhat, but the setup remains demanding because consensus sits near the upper half of AppLovin’s own 2Q outlook.</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company guidance</w:t>
            </w:r>
          </w:p>
        </w:tc>
        <w:tc>
          <w:tcPr/>
          <w:p>
            <w:pPr>
              <w:pStyle w:val="Compact"/>
              <w:jc w:val="right"/>
            </w:pPr>
            <w:r>
              <w:t xml:space="preserve">Street expectation</w:t>
            </w:r>
          </w:p>
        </w:tc>
        <w:tc>
          <w:tcPr/>
          <w:p>
            <w:pPr>
              <w:pStyle w:val="Compact"/>
            </w:pPr>
            <w:r>
              <w:t xml:space="preserve">Implication</w:t>
            </w:r>
          </w:p>
        </w:tc>
      </w:tr>
      <w:tr>
        <w:tc>
          <w:tcPr/>
          <w:p>
            <w:pPr>
              <w:pStyle w:val="Compact"/>
            </w:pPr>
            <w:r>
              <w:t xml:space="preserve">Revenue</w:t>
            </w:r>
          </w:p>
        </w:tc>
        <w:tc>
          <w:tcPr/>
          <w:p>
            <w:pPr>
              <w:pStyle w:val="Compact"/>
              <w:jc w:val="right"/>
            </w:pPr>
            <m:oMath>
              <m:r>
                <m:t>1.915</m:t>
              </m:r>
              <m:r>
                <m:t>B</m:t>
              </m:r>
              <m:r>
                <m:rPr>
                  <m:sty m:val="p"/>
                </m:rPr>
                <m:t>–</m:t>
              </m:r>
            </m:oMath>
            <w:r>
              <w:rPr>
                <w:b/>
                <w:bCs/>
              </w:rPr>
              <w:t xml:space="preserve">1.945B</w:t>
            </w:r>
          </w:p>
        </w:tc>
        <w:tc>
          <w:tcPr/>
          <w:p>
            <w:pPr>
              <w:pStyle w:val="Compact"/>
              <w:jc w:val="right"/>
            </w:pPr>
            <w:r>
              <w:rPr>
                <w:b/>
                <w:bCs/>
              </w:rPr>
              <w:t xml:space="preserve">~$1.94B</w:t>
            </w:r>
          </w:p>
        </w:tc>
        <w:tc>
          <w:tcPr/>
          <w:p>
            <w:pPr>
              <w:pStyle w:val="Compact"/>
            </w:pPr>
            <w:r>
              <w:t xml:space="preserve">Near the high end</w:t>
            </w:r>
          </w:p>
        </w:tc>
      </w:tr>
      <w:tr>
        <w:tc>
          <w:tcPr/>
          <w:p>
            <w:pPr>
              <w:pStyle w:val="Compact"/>
            </w:pPr>
            <w:r>
              <w:t xml:space="preserve">Adjusted EBITDA</w:t>
            </w:r>
          </w:p>
        </w:tc>
        <w:tc>
          <w:tcPr/>
          <w:p>
            <w:pPr>
              <w:pStyle w:val="Compact"/>
              <w:jc w:val="right"/>
            </w:pPr>
            <m:oMath>
              <m:r>
                <m:t>1.615</m:t>
              </m:r>
              <m:r>
                <m:t>B</m:t>
              </m:r>
              <m:r>
                <m:rPr>
                  <m:sty m:val="p"/>
                </m:rPr>
                <m:t>–</m:t>
              </m:r>
            </m:oMath>
            <w:r>
              <w:rPr>
                <w:b/>
                <w:bCs/>
              </w:rPr>
              <w:t xml:space="preserve">1.645B</w:t>
            </w:r>
          </w:p>
        </w:tc>
        <w:tc>
          <w:tcPr/>
          <w:p>
            <w:pPr>
              <w:pStyle w:val="Compact"/>
              <w:jc w:val="right"/>
            </w:pPr>
            <w:r>
              <w:rPr>
                <w:b/>
                <w:bCs/>
              </w:rPr>
              <w:t xml:space="preserve">~$1.63B</w:t>
            </w:r>
          </w:p>
        </w:tc>
        <w:tc>
          <w:tcPr/>
          <w:p>
            <w:pPr>
              <w:pStyle w:val="Compact"/>
            </w:pPr>
            <w:r>
              <w:t xml:space="preserve">Around the midpoint</w:t>
            </w:r>
          </w:p>
        </w:tc>
      </w:tr>
      <w:tr>
        <w:tc>
          <w:tcPr/>
          <w:p>
            <w:pPr>
              <w:pStyle w:val="Compact"/>
            </w:pPr>
            <w:r>
              <w:t xml:space="preserve">Adjusted EBITDA margin</w:t>
            </w:r>
          </w:p>
        </w:tc>
        <w:tc>
          <w:tcPr/>
          <w:p>
            <w:pPr>
              <w:pStyle w:val="Compact"/>
              <w:jc w:val="right"/>
            </w:pPr>
            <w:r>
              <w:rPr>
                <w:b/>
                <w:bCs/>
              </w:rPr>
              <w:t xml:space="preserve">84%–85%</w:t>
            </w:r>
          </w:p>
        </w:tc>
        <w:tc>
          <w:tcPr/>
          <w:p>
            <w:pPr>
              <w:pStyle w:val="Compact"/>
              <w:jc w:val="right"/>
            </w:pPr>
            <w:r>
              <w:t xml:space="preserve">Implied ~84%</w:t>
            </w:r>
          </w:p>
        </w:tc>
        <w:tc>
          <w:tcPr/>
          <w:p>
            <w:pPr>
              <w:pStyle w:val="Compact"/>
            </w:pPr>
            <w:r>
              <w:t xml:space="preserve">Slight sequential compression vs. 1Q’s 85%</w:t>
            </w:r>
          </w:p>
        </w:tc>
      </w:tr>
    </w:tbl>
    <w:p>
      <w:pPr>
        <w:pStyle w:val="BodyText"/>
      </w:pPr>
      <w:r>
        <w:t xml:space="preserve">The key numerical read-through is that consensus appears to assume approximately</w:t>
      </w:r>
      <w:r>
        <w:t xml:space="preserve"> </w:t>
      </w:r>
      <m:oMath>
        <m:r>
          <m:t>1.94</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1.63 billion of adjusted EBITDA</w:t>
      </w:r>
      <w:r>
        <w:t xml:space="preserve">. That is roughly</w:t>
      </w:r>
      <w:r>
        <w:t xml:space="preserve"> </w:t>
      </w:r>
      <w:r>
        <w:rPr>
          <w:b/>
          <w:bCs/>
        </w:rPr>
        <w:t xml:space="preserve">$10 million above the revenue midpoint</w:t>
      </w:r>
      <w:r>
        <w:t xml:space="preserve"> </w:t>
      </w:r>
      <w:r>
        <w:t xml:space="preserve">and at the</w:t>
      </w:r>
      <w:r>
        <w:t xml:space="preserve"> </w:t>
      </w:r>
      <w:r>
        <w:rPr>
          <w:b/>
          <w:bCs/>
        </w:rPr>
        <w:t xml:space="preserve">EBITDA midpoint</w:t>
      </w:r>
      <w:r>
        <w:t xml:space="preserve">. In other words, expectations are not positioned for a miss, but neither do they require a perfect high-end result.</w:t>
      </w:r>
    </w:p>
    <w:p>
      <w:pPr>
        <w:pStyle w:val="BodyText"/>
      </w:pPr>
      <w:r>
        <w:t xml:space="preserve">At the revenue consensus, AppLovin would grow about</w:t>
      </w:r>
      <w:r>
        <w:t xml:space="preserve"> </w:t>
      </w:r>
      <w:r>
        <w:rPr>
          <w:b/>
          <w:bCs/>
        </w:rPr>
        <w:t xml:space="preserve">5% sequentially</w:t>
      </w:r>
      <w:r>
        <w:t xml:space="preserve"> </w:t>
      </w:r>
      <w:r>
        <w:t xml:space="preserve">from 1Q26; EBITDA would also increase by roughly</w:t>
      </w:r>
      <w:r>
        <w:t xml:space="preserve"> </w:t>
      </w:r>
      <w:r>
        <w:rPr>
          <w:b/>
          <w:bCs/>
        </w:rPr>
        <w:t xml:space="preserve">5% sequentially</w:t>
      </w:r>
      <w:r>
        <w:t xml:space="preserve">.</w:t>
      </w:r>
    </w:p>
    <w:p>
      <w:r>
        <w:pict>
          <v:rect style="width:0;height:1.5pt" o:hralign="center" o:hrstd="t" o:hr="t"/>
        </w:pict>
      </w:r>
    </w:p>
    <w:bookmarkEnd w:id="10"/>
    <w:bookmarkStart w:id="13" w:name="X212a8a30e15b05b34d92d1f522ffdf78c17dde6"/>
    <w:p>
      <w:pPr>
        <w:pStyle w:val="Heading2"/>
      </w:pPr>
      <w:r>
        <w:t xml:space="preserve">Why this quarter matters more than the headline numbers</w:t>
      </w:r>
    </w:p>
    <w:bookmarkStart w:id="11" w:name="X945e171e58c25a22a6c489d278dd51b63707a66"/>
    <w:p>
      <w:pPr>
        <w:pStyle w:val="Heading3"/>
      </w:pPr>
      <w:r>
        <w:t xml:space="preserve">1. Consumer / e-commerce is now the swing factor</w:t>
      </w:r>
    </w:p>
    <w:p>
      <w:pPr>
        <w:pStyle w:val="FirstParagraph"/>
      </w:pPr>
      <w:r>
        <w:t xml:space="preserve">Management characterized the consumer vertical as its faster-growing opportunity in 1Q. It said:</w:t>
      </w:r>
    </w:p>
    <w:p>
      <w:pPr>
        <w:pStyle w:val="Compact"/>
        <w:numPr>
          <w:ilvl w:val="0"/>
          <w:numId w:val="1002"/>
        </w:numPr>
      </w:pPr>
      <w:r>
        <w:t xml:space="preserve">March consumer spend was about</w:t>
      </w:r>
      <w:r>
        <w:t xml:space="preserve"> </w:t>
      </w:r>
      <w:r>
        <w:rPr>
          <w:b/>
          <w:bCs/>
        </w:rPr>
        <w:t xml:space="preserve">25% above January</w:t>
      </w:r>
      <w:r>
        <w:t xml:space="preserve">.</w:t>
      </w:r>
    </w:p>
    <w:p>
      <w:pPr>
        <w:pStyle w:val="Compact"/>
        <w:numPr>
          <w:ilvl w:val="0"/>
          <w:numId w:val="1002"/>
        </w:numPr>
      </w:pPr>
      <w:r>
        <w:t xml:space="preserve">April reached a record month, exceeding even prior 4Q peaks.</w:t>
      </w:r>
    </w:p>
    <w:p>
      <w:pPr>
        <w:pStyle w:val="Compact"/>
        <w:numPr>
          <w:ilvl w:val="0"/>
          <w:numId w:val="1002"/>
        </w:numPr>
      </w:pPr>
      <w:r>
        <w:t xml:space="preserve">The company opened the Axon Ads Manager platform broadly in</w:t>
      </w:r>
      <w:r>
        <w:t xml:space="preserve"> </w:t>
      </w:r>
      <w:r>
        <w:rPr>
          <w:b/>
          <w:bCs/>
        </w:rPr>
        <w:t xml:space="preserve">June</w:t>
      </w:r>
      <w:r>
        <w:t xml:space="preserve">.</w:t>
      </w:r>
    </w:p>
    <w:p>
      <w:pPr>
        <w:pStyle w:val="Compact"/>
        <w:numPr>
          <w:ilvl w:val="0"/>
          <w:numId w:val="1002"/>
        </w:numPr>
      </w:pPr>
      <w:r>
        <w:t xml:space="preserve">AppLovin believes creative-generation tools, self-serve onboarding, and agent-compatible workflows can materially widen advertiser access over time.</w:t>
      </w:r>
    </w:p>
    <w:p>
      <w:pPr>
        <w:pStyle w:val="FirstParagraph"/>
      </w:pPr>
      <w:r>
        <w:t xml:space="preserve">The counterpoint is that third-party observations in July raised concern that e-commerce advertiser growth had slowed during June. The reported datapoint was approximately</w:t>
      </w:r>
      <w:r>
        <w:t xml:space="preserve"> </w:t>
      </w:r>
      <w:r>
        <w:rPr>
          <w:b/>
          <w:bCs/>
        </w:rPr>
        <w:t xml:space="preserve">750 new pixels in June versus 950 in May</w:t>
      </w:r>
      <w:r>
        <w:t xml:space="preserve">, though the same analysis cautioned that the data covered only the initial weeks after broad availability and were too early to extrapolate decisively.</w:t>
      </w:r>
    </w:p>
    <w:p>
      <w:pPr>
        <w:pStyle w:val="BodyText"/>
      </w:pPr>
      <w:r>
        <w:rPr>
          <w:b/>
          <w:bCs/>
        </w:rPr>
        <w:t xml:space="preserve">What investors need to hear:</w:t>
      </w:r>
      <w:r>
        <w:t xml:space="preserve"> </w:t>
      </w:r>
      <w:r>
        <w:t xml:space="preserve">whether June and July advertiser cohorts are spending, retaining, and scaling—rather than simply signing up. Management has consistently emphasized that once advertisers become active and reach roughly 30 days of spend, churn has been very low. Therefore, the most valuable update would be on:</w:t>
      </w:r>
    </w:p>
    <w:p>
      <w:pPr>
        <w:pStyle w:val="Compact"/>
        <w:numPr>
          <w:ilvl w:val="0"/>
          <w:numId w:val="1003"/>
        </w:numPr>
      </w:pPr>
      <w:r>
        <w:t xml:space="preserve">Advertiser activation and onboarding friction</w:t>
      </w:r>
    </w:p>
    <w:p>
      <w:pPr>
        <w:pStyle w:val="Compact"/>
        <w:numPr>
          <w:ilvl w:val="0"/>
          <w:numId w:val="1003"/>
        </w:numPr>
      </w:pPr>
      <w:r>
        <w:t xml:space="preserve">The rollout and adoption of AI video-creative tools</w:t>
      </w:r>
    </w:p>
    <w:p>
      <w:pPr>
        <w:pStyle w:val="Compact"/>
        <w:numPr>
          <w:ilvl w:val="0"/>
          <w:numId w:val="1003"/>
        </w:numPr>
      </w:pPr>
      <w:r>
        <w:t xml:space="preserve">Spend growth from established consumer advertisers</w:t>
      </w:r>
    </w:p>
    <w:p>
      <w:pPr>
        <w:pStyle w:val="Compact"/>
        <w:numPr>
          <w:ilvl w:val="0"/>
          <w:numId w:val="1003"/>
        </w:numPr>
      </w:pPr>
      <w:r>
        <w:t xml:space="preserve">Incremental verticals beyond direct-to-consumer commerce, particularly lead generation</w:t>
      </w:r>
    </w:p>
    <w:p>
      <w:pPr>
        <w:pStyle w:val="Compact"/>
        <w:numPr>
          <w:ilvl w:val="0"/>
          <w:numId w:val="1003"/>
        </w:numPr>
      </w:pPr>
      <w:r>
        <w:t xml:space="preserve">Whether self-serve launch activity is translating into a meaningful second-half revenue contribution</w:t>
      </w:r>
    </w:p>
    <w:p>
      <w:pPr>
        <w:pStyle w:val="FirstParagraph"/>
      </w:pPr>
      <w:r>
        <w:t xml:space="preserve">A weak answer here would reinforce the concern that consumer growth is more dependent on a smaller set of larger advertisers than investors had assumed. A strong answer could reset the narrative toward self-serve-driven acceleration in 2H26.</w:t>
      </w:r>
    </w:p>
    <w:p>
      <w:r>
        <w:pict>
          <v:rect style="width:0;height:1.5pt" o:hralign="center" o:hrstd="t" o:hr="t"/>
        </w:pict>
      </w:r>
    </w:p>
    <w:bookmarkEnd w:id="11"/>
    <w:bookmarkStart w:id="12" w:name="Xde621f52844c8e9f02c678c047f1f425fb0a968"/>
    <w:p>
      <w:pPr>
        <w:pStyle w:val="Heading3"/>
      </w:pPr>
      <w:r>
        <w:t xml:space="preserve">2. Gaming remains the earnings foundation—and needs to stay strong</w:t>
      </w:r>
    </w:p>
    <w:p>
      <w:pPr>
        <w:pStyle w:val="FirstParagraph"/>
      </w:pPr>
      <w:r>
        <w:t xml:space="preserve">The core gaming business remains much larger than the consumer operation and still accounted for a substantial portion of AppLovin’s 59% year-over-year revenue growth in 1Q. Management argued that gaming demand remains supported by:</w:t>
      </w:r>
    </w:p>
    <w:p>
      <w:pPr>
        <w:pStyle w:val="Compact"/>
        <w:numPr>
          <w:ilvl w:val="0"/>
          <w:numId w:val="1004"/>
        </w:numPr>
      </w:pPr>
      <w:r>
        <w:t xml:space="preserve">Continued Axon model improvements</w:t>
      </w:r>
    </w:p>
    <w:p>
      <w:pPr>
        <w:pStyle w:val="Compact"/>
        <w:numPr>
          <w:ilvl w:val="0"/>
          <w:numId w:val="1004"/>
        </w:numPr>
      </w:pPr>
      <w:r>
        <w:t xml:space="preserve">A growing set of new game launches enabled by lower AI-assisted development costs</w:t>
      </w:r>
    </w:p>
    <w:p>
      <w:pPr>
        <w:pStyle w:val="Compact"/>
        <w:numPr>
          <w:ilvl w:val="0"/>
          <w:numId w:val="1004"/>
        </w:numPr>
      </w:pPr>
      <w:r>
        <w:t xml:space="preserve">Conversion of historically in-app-purchase-only games toward hybrid monetization</w:t>
      </w:r>
    </w:p>
    <w:p>
      <w:pPr>
        <w:pStyle w:val="Compact"/>
        <w:numPr>
          <w:ilvl w:val="0"/>
          <w:numId w:val="1004"/>
        </w:numPr>
      </w:pPr>
      <w:r>
        <w:t xml:space="preserve">More demand diversity from non-gaming advertisers, which can enable IAP-focused games to monetize through ads without promoting direct game competitors</w:t>
      </w:r>
    </w:p>
    <w:p>
      <w:pPr>
        <w:pStyle w:val="FirstParagraph"/>
      </w:pPr>
      <w:r>
        <w:t xml:space="preserve">Management has reiterated a long-term</w:t>
      </w:r>
      <w:r>
        <w:t xml:space="preserve"> </w:t>
      </w:r>
      <w:r>
        <w:rPr>
          <w:b/>
          <w:bCs/>
        </w:rPr>
        <w:t xml:space="preserve">20%–30% gaming growth</w:t>
      </w:r>
      <w:r>
        <w:t xml:space="preserve"> </w:t>
      </w:r>
      <w:r>
        <w:t xml:space="preserve">view, while noting that actual recent performance has run materially ahead of that level.</w:t>
      </w:r>
    </w:p>
    <w:p>
      <w:pPr>
        <w:pStyle w:val="BodyText"/>
      </w:pPr>
      <w:r>
        <w:rPr>
          <w:b/>
          <w:bCs/>
        </w:rPr>
        <w:t xml:space="preserve">The question for 2Q:</w:t>
      </w:r>
      <w:r>
        <w:t xml:space="preserve"> </w:t>
      </w:r>
      <w:r>
        <w:t xml:space="preserve">Can APP show that gaming growth remains robust even as the comparison base gets larger? If gaming holds up while consumer growth reaccelerates, the company can preserve its “two engines” growth narrative. If both slow, the valuation debate becomes more difficult quickly.</w:t>
      </w:r>
    </w:p>
    <w:p>
      <w:r>
        <w:pict>
          <v:rect style="width:0;height:1.5pt" o:hralign="center" o:hrstd="t" o:hr="t"/>
        </w:pict>
      </w:r>
    </w:p>
    <w:bookmarkEnd w:id="12"/>
    <w:bookmarkEnd w:id="13"/>
    <w:bookmarkStart w:id="14" w:name="Xb69beef9e0e3abe391381e80fed738efe67d04a"/>
    <w:p>
      <w:pPr>
        <w:pStyle w:val="Heading2"/>
      </w:pPr>
      <w:r>
        <w:t xml:space="preserve">Margin and cash flow: exceptional economics, but watch the trajectory</w:t>
      </w:r>
    </w:p>
    <w:p>
      <w:pPr>
        <w:pStyle w:val="FirstParagraph"/>
      </w:pPr>
      <w:r>
        <w:t xml:space="preserve">AppLovin’s 1Q26 financial profile was extraordinary: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result</w:t>
            </w:r>
          </w:p>
        </w:tc>
        <w:tc>
          <w:tcPr/>
          <w:p>
            <w:pPr>
              <w:pStyle w:val="Compact"/>
              <w:jc w:val="right"/>
            </w:pPr>
            <w:r>
              <w:t xml:space="preserve">Value</w:t>
            </w:r>
          </w:p>
        </w:tc>
      </w:tr>
      <w:tr>
        <w:tc>
          <w:tcPr/>
          <w:p>
            <w:pPr>
              <w:pStyle w:val="Compact"/>
            </w:pPr>
            <w:r>
              <w:t xml:space="preserve">Revenue</w:t>
            </w:r>
          </w:p>
        </w:tc>
        <w:tc>
          <w:tcPr/>
          <w:p>
            <w:pPr>
              <w:pStyle w:val="Compact"/>
              <w:jc w:val="right"/>
            </w:pPr>
            <w:r>
              <w:rPr>
                <w:b/>
                <w:bCs/>
              </w:rPr>
              <w:t xml:space="preserve">$1.842B</w:t>
            </w:r>
          </w:p>
        </w:tc>
      </w:tr>
      <w:tr>
        <w:tc>
          <w:tcPr/>
          <w:p>
            <w:pPr>
              <w:pStyle w:val="Compact"/>
            </w:pPr>
            <w:r>
              <w:t xml:space="preserve">Revenue growth</w:t>
            </w:r>
          </w:p>
        </w:tc>
        <w:tc>
          <w:tcPr/>
          <w:p>
            <w:pPr>
              <w:pStyle w:val="Compact"/>
              <w:jc w:val="right"/>
            </w:pPr>
            <w:r>
              <w:rPr>
                <w:b/>
                <w:bCs/>
              </w:rPr>
              <w:t xml:space="preserve">59% YoY</w:t>
            </w:r>
          </w:p>
        </w:tc>
      </w:tr>
      <w:tr>
        <w:tc>
          <w:tcPr/>
          <w:p>
            <w:pPr>
              <w:pStyle w:val="Compact"/>
            </w:pPr>
            <w:r>
              <w:t xml:space="preserve">Adjusted EBITDA</w:t>
            </w:r>
          </w:p>
        </w:tc>
        <w:tc>
          <w:tcPr/>
          <w:p>
            <w:pPr>
              <w:pStyle w:val="Compact"/>
              <w:jc w:val="right"/>
            </w:pPr>
            <w:r>
              <w:rPr>
                <w:b/>
                <w:bCs/>
              </w:rPr>
              <w:t xml:space="preserve">$1.557B</w:t>
            </w:r>
          </w:p>
        </w:tc>
      </w:tr>
      <w:tr>
        <w:tc>
          <w:tcPr/>
          <w:p>
            <w:pPr>
              <w:pStyle w:val="Compact"/>
            </w:pPr>
            <w:r>
              <w:t xml:space="preserve">Adjusted EBITDA margin</w:t>
            </w:r>
          </w:p>
        </w:tc>
        <w:tc>
          <w:tcPr/>
          <w:p>
            <w:pPr>
              <w:pStyle w:val="Compact"/>
              <w:jc w:val="right"/>
            </w:pPr>
            <w:r>
              <w:rPr>
                <w:b/>
                <w:bCs/>
              </w:rPr>
              <w:t xml:space="preserve">85%</w:t>
            </w:r>
          </w:p>
        </w:tc>
      </w:tr>
      <w:tr>
        <w:tc>
          <w:tcPr/>
          <w:p>
            <w:pPr>
              <w:pStyle w:val="Compact"/>
            </w:pPr>
            <w:r>
              <w:t xml:space="preserve">Net income</w:t>
            </w:r>
          </w:p>
        </w:tc>
        <w:tc>
          <w:tcPr/>
          <w:p>
            <w:pPr>
              <w:pStyle w:val="Compact"/>
              <w:jc w:val="right"/>
            </w:pPr>
            <w:r>
              <w:rPr>
                <w:b/>
                <w:bCs/>
              </w:rPr>
              <w:t xml:space="preserve">$1.206B</w:t>
            </w:r>
          </w:p>
        </w:tc>
      </w:tr>
      <w:tr>
        <w:tc>
          <w:tcPr/>
          <w:p>
            <w:pPr>
              <w:pStyle w:val="Compact"/>
            </w:pPr>
            <w:r>
              <w:t xml:space="preserve">Free cash flow</w:t>
            </w:r>
          </w:p>
        </w:tc>
        <w:tc>
          <w:tcPr/>
          <w:p>
            <w:pPr>
              <w:pStyle w:val="Compact"/>
              <w:jc w:val="right"/>
            </w:pPr>
            <w:r>
              <w:rPr>
                <w:b/>
                <w:bCs/>
              </w:rPr>
              <w:t xml:space="preserve">$1.287B</w:t>
            </w:r>
          </w:p>
        </w:tc>
      </w:tr>
      <w:tr>
        <w:tc>
          <w:tcPr/>
          <w:p>
            <w:pPr>
              <w:pStyle w:val="Compact"/>
            </w:pPr>
            <w:r>
              <w:t xml:space="preserve">Share repurchases / withholding</w:t>
            </w:r>
          </w:p>
        </w:tc>
        <w:tc>
          <w:tcPr/>
          <w:p>
            <w:pPr>
              <w:pStyle w:val="Compact"/>
              <w:jc w:val="right"/>
            </w:pPr>
            <w:r>
              <w:rPr>
                <w:b/>
                <w:bCs/>
              </w:rPr>
              <w:t xml:space="preserve">$1.0B</w:t>
            </w:r>
          </w:p>
        </w:tc>
      </w:tr>
    </w:tbl>
    <w:p>
      <w:pPr>
        <w:pStyle w:val="BodyText"/>
      </w:pPr>
      <w:r>
        <w:t xml:space="preserve">The company guided 2Q adjusted EBITDA margin to</w:t>
      </w:r>
      <w:r>
        <w:t xml:space="preserve"> </w:t>
      </w:r>
      <w:r>
        <w:rPr>
          <w:b/>
          <w:bCs/>
        </w:rPr>
        <w:t xml:space="preserve">84%–85%</w:t>
      </w:r>
      <w:r>
        <w:t xml:space="preserve">, implying that it expects to retain nearly all of its remarkable profitability even while investing in customer acquisition, broader brand marketing, AI creative tools, and additional compute.</w:t>
      </w:r>
    </w:p>
    <w:p>
      <w:pPr>
        <w:pStyle w:val="BodyText"/>
      </w:pPr>
      <w:r>
        <w:t xml:space="preserve">There are two nuances investors should keep in mind:</w:t>
      </w:r>
    </w:p>
    <w:p>
      <w:pPr>
        <w:pStyle w:val="Compact"/>
        <w:numPr>
          <w:ilvl w:val="0"/>
          <w:numId w:val="1005"/>
        </w:numPr>
      </w:pPr>
      <w:r>
        <w:rPr>
          <w:b/>
          <w:bCs/>
        </w:rPr>
        <w:t xml:space="preserve">Free cash flow may be seasonally lower in 2Q and 3Q.</w:t>
      </w:r>
      <w:r>
        <w:t xml:space="preserve"> </w:t>
      </w:r>
      <w:r>
        <w:t xml:space="preserve">Management said 1Q cash flow benefited from the timing of taxes and interest payments, and it expects 2026 free-cash-flow conversion to normalize around</w:t>
      </w:r>
      <w:r>
        <w:t xml:space="preserve"> </w:t>
      </w:r>
      <w:r>
        <w:rPr>
          <w:b/>
          <w:bCs/>
        </w:rPr>
        <w:t xml:space="preserve">75% of adjusted EBITDA</w:t>
      </w:r>
      <w:r>
        <w:t xml:space="preserve">.</w:t>
      </w:r>
    </w:p>
    <w:p>
      <w:pPr>
        <w:pStyle w:val="Compact"/>
        <w:numPr>
          <w:ilvl w:val="0"/>
          <w:numId w:val="1005"/>
        </w:numPr>
      </w:pPr>
      <w:r>
        <w:rPr>
          <w:b/>
          <w:bCs/>
        </w:rPr>
        <w:t xml:space="preserve">Expense growth can be constructive.</w:t>
      </w:r>
      <w:r>
        <w:t xml:space="preserve"> </w:t>
      </w:r>
      <w:r>
        <w:t xml:space="preserve">Management has said higher sales and marketing spend after the self-serve launch should be interpreted positively if it reflects attractive, rapidly paybackable customer-acquisition economics. It previously cited sub-30-day breakeven economics on marketing spend.</w:t>
      </w:r>
    </w:p>
    <w:p>
      <w:pPr>
        <w:pStyle w:val="FirstParagraph"/>
      </w:pPr>
      <w:r>
        <w:t xml:space="preserve">Thus, a moderate margin decline paired with clear evidence of productive customer acquisition would likely be viewed better than flat margins accompanied by a soft consumer growth outlook.</w:t>
      </w:r>
    </w:p>
    <w:p>
      <w:r>
        <w:pict>
          <v:rect style="width:0;height:1.5pt" o:hralign="center" o:hrstd="t" o:hr="t"/>
        </w:pict>
      </w:r>
    </w:p>
    <w:bookmarkEnd w:id="14"/>
    <w:bookmarkStart w:id="15" w:name="capital-allocation-and-balance-sheet"/>
    <w:p>
      <w:pPr>
        <w:pStyle w:val="Heading2"/>
      </w:pPr>
      <w:r>
        <w:t xml:space="preserve">Capital allocation and balance sheet</w:t>
      </w:r>
    </w:p>
    <w:p>
      <w:pPr>
        <w:pStyle w:val="FirstParagraph"/>
      </w:pPr>
      <w:r>
        <w:t xml:space="preserve">AppLovin ended 1Q with:</w:t>
      </w:r>
    </w:p>
    <w:p>
      <w:pPr>
        <w:pStyle w:val="Compact"/>
        <w:numPr>
          <w:ilvl w:val="0"/>
          <w:numId w:val="1006"/>
        </w:numPr>
      </w:pPr>
      <w:r>
        <w:rPr>
          <w:b/>
          <w:bCs/>
        </w:rPr>
        <w:t xml:space="preserve">$2.76B</w:t>
      </w:r>
      <w:r>
        <w:t xml:space="preserve"> </w:t>
      </w:r>
      <w:r>
        <w:t xml:space="preserve">in cash and cash equivalents</w:t>
      </w:r>
    </w:p>
    <w:p>
      <w:pPr>
        <w:pStyle w:val="Compact"/>
        <w:numPr>
          <w:ilvl w:val="0"/>
          <w:numId w:val="1006"/>
        </w:numPr>
      </w:pPr>
      <w:r>
        <w:rPr>
          <w:b/>
          <w:bCs/>
        </w:rPr>
        <w:t xml:space="preserve">~$3.5B</w:t>
      </w:r>
      <w:r>
        <w:t xml:space="preserve"> </w:t>
      </w:r>
      <w:r>
        <w:t xml:space="preserve">of long-term debt on the balance sheet</w:t>
      </w:r>
    </w:p>
    <w:p>
      <w:pPr>
        <w:pStyle w:val="Compact"/>
        <w:numPr>
          <w:ilvl w:val="0"/>
          <w:numId w:val="1006"/>
        </w:numPr>
      </w:pPr>
      <w:r>
        <w:t xml:space="preserve">Approximately</w:t>
      </w:r>
      <w:r>
        <w:t xml:space="preserve"> </w:t>
      </w:r>
      <w:r>
        <w:rPr>
          <w:b/>
          <w:bCs/>
        </w:rPr>
        <w:t xml:space="preserve">$2.3B</w:t>
      </w:r>
      <w:r>
        <w:t xml:space="preserve"> </w:t>
      </w:r>
      <w:r>
        <w:t xml:space="preserve">remaining under its repurchase authorization</w:t>
      </w:r>
    </w:p>
    <w:p>
      <w:pPr>
        <w:pStyle w:val="Compact"/>
        <w:numPr>
          <w:ilvl w:val="0"/>
          <w:numId w:val="1006"/>
        </w:numPr>
      </w:pPr>
      <w:r>
        <w:rPr>
          <w:b/>
          <w:bCs/>
        </w:rPr>
        <w:t xml:space="preserve">$1.0B</w:t>
      </w:r>
      <w:r>
        <w:t xml:space="preserve"> </w:t>
      </w:r>
      <w:r>
        <w:t xml:space="preserve">of stock repurchased or withheld during 1Q</w:t>
      </w:r>
    </w:p>
    <w:p>
      <w:pPr>
        <w:pStyle w:val="FirstParagraph"/>
      </w:pPr>
      <w:r>
        <w:t xml:space="preserve">The repurchase program has been a meaningful support to per-share earnings and signals management’s confidence in the business. Still, investors will want to see that buybacks remain balanced against the need to fund model development, capacity, and expansion into new advertiser categories. Management has said its priorities are unchanged: fund high-return organic investment first and return capital through repurchases.</w:t>
      </w:r>
    </w:p>
    <w:p>
      <w:r>
        <w:pict>
          <v:rect style="width:0;height:1.5pt" o:hralign="center" o:hrstd="t" o:hr="t"/>
        </w:pict>
      </w:r>
    </w:p>
    <w:bookmarkEnd w:id="15"/>
    <w:bookmarkStart w:id="17" w:name="key-issues-for-the-call"/>
    <w:p>
      <w:pPr>
        <w:pStyle w:val="Heading2"/>
      </w:pPr>
      <w:r>
        <w:t xml:space="preserve">Key issues for the call</w:t>
      </w:r>
    </w:p>
    <w:bookmarkStart w:id="16" w:name="questions-that-matter-most"/>
    <w:p>
      <w:pPr>
        <w:pStyle w:val="Heading3"/>
      </w:pPr>
      <w:r>
        <w:t xml:space="preserve">Questions that matter most</w:t>
      </w:r>
    </w:p>
    <w:p>
      <w:pPr>
        <w:numPr>
          <w:ilvl w:val="0"/>
          <w:numId w:val="1007"/>
        </w:numPr>
      </w:pPr>
      <w:r>
        <w:rPr>
          <w:b/>
          <w:bCs/>
        </w:rPr>
        <w:t xml:space="preserve">How did consumer-advertiser spend trend through June and July?</w:t>
      </w:r>
      <w:r>
        <w:br/>
      </w:r>
      <w:r>
        <w:t xml:space="preserve">This is the central question. Investors need spend and retention evidence, not merely advertiser-signup commentary.</w:t>
      </w:r>
    </w:p>
    <w:p>
      <w:pPr>
        <w:numPr>
          <w:ilvl w:val="0"/>
          <w:numId w:val="1007"/>
        </w:numPr>
      </w:pPr>
      <w:r>
        <w:rPr>
          <w:b/>
          <w:bCs/>
        </w:rPr>
        <w:t xml:space="preserve">What has changed after the broad self-serve launch?</w:t>
      </w:r>
      <w:r>
        <w:br/>
      </w:r>
      <w:r>
        <w:t xml:space="preserve">Look for specifics on activation rates, time to first spend, onboarding friction, and early cohort quality.</w:t>
      </w:r>
    </w:p>
    <w:p>
      <w:pPr>
        <w:numPr>
          <w:ilvl w:val="0"/>
          <w:numId w:val="1007"/>
        </w:numPr>
      </w:pPr>
      <w:r>
        <w:rPr>
          <w:b/>
          <w:bCs/>
        </w:rPr>
        <w:t xml:space="preserve">Are AI-generated video creatives now broadly deployed?</w:t>
      </w:r>
      <w:r>
        <w:br/>
      </w:r>
      <w:r>
        <w:t xml:space="preserve">This tool is strategically important because AppLovin believes lack of platform-specific video creative has been a key onboarding bottleneck for smaller consumer advertisers.</w:t>
      </w:r>
    </w:p>
    <w:p>
      <w:pPr>
        <w:numPr>
          <w:ilvl w:val="0"/>
          <w:numId w:val="1007"/>
        </w:numPr>
      </w:pPr>
      <w:r>
        <w:rPr>
          <w:b/>
          <w:bCs/>
        </w:rPr>
        <w:t xml:space="preserve">Is gaming growth still exceeding management’s long-term framework?</w:t>
      </w:r>
      <w:r>
        <w:br/>
      </w:r>
      <w:r>
        <w:t xml:space="preserve">Continued strength would mitigate any near-term uncertainty in consumer advertising.</w:t>
      </w:r>
    </w:p>
    <w:p>
      <w:pPr>
        <w:numPr>
          <w:ilvl w:val="0"/>
          <w:numId w:val="1007"/>
        </w:numPr>
      </w:pPr>
      <w:r>
        <w:rPr>
          <w:b/>
          <w:bCs/>
        </w:rPr>
        <w:t xml:space="preserve">What is the 3Q guide—and what does it imply for sequential growth?</w:t>
      </w:r>
      <w:r>
        <w:br/>
      </w:r>
      <w:r>
        <w:t xml:space="preserve">With the stock sensitive to growth durability, outlook matters more than the 2Q beat/miss.</w:t>
      </w:r>
    </w:p>
    <w:p>
      <w:pPr>
        <w:numPr>
          <w:ilvl w:val="0"/>
          <w:numId w:val="1007"/>
        </w:numPr>
      </w:pPr>
      <w:r>
        <w:rPr>
          <w:b/>
          <w:bCs/>
        </w:rPr>
        <w:t xml:space="preserve">How much investment is needed to support self-serve and new verticals?</w:t>
      </w:r>
      <w:r>
        <w:br/>
      </w:r>
      <w:r>
        <w:t xml:space="preserve">Investors will focus on whether sales and marketing or compute costs create a sustained margin trade-off.</w:t>
      </w:r>
    </w:p>
    <w:p>
      <w:pPr>
        <w:numPr>
          <w:ilvl w:val="0"/>
          <w:numId w:val="1007"/>
        </w:numPr>
      </w:pPr>
      <w:r>
        <w:rPr>
          <w:b/>
          <w:bCs/>
        </w:rPr>
        <w:t xml:space="preserve">What is the timetable for lead generation, connected TV, and new supply?</w:t>
      </w:r>
      <w:r>
        <w:br/>
      </w:r>
      <w:r>
        <w:t xml:space="preserve">These are longer-term options rather than 2026 earnings drivers, but management commentary could shape the multiple.</w:t>
      </w:r>
    </w:p>
    <w:p>
      <w:r>
        <w:pict>
          <v:rect style="width:0;height:1.5pt" o:hralign="center" o:hrstd="t" o:hr="t"/>
        </w:pict>
      </w:r>
    </w:p>
    <w:bookmarkEnd w:id="16"/>
    <w:bookmarkEnd w:id="17"/>
    <w:bookmarkStart w:id="18" w:name="bull-case"/>
    <w:p>
      <w:pPr>
        <w:pStyle w:val="Heading2"/>
      </w:pPr>
      <w:r>
        <w:t xml:space="preserve">Bull case</w:t>
      </w:r>
    </w:p>
    <w:p>
      <w:pPr>
        <w:pStyle w:val="FirstParagraph"/>
      </w:pPr>
      <w:r>
        <w:t xml:space="preserve">The bullish case is that AppLovin reports another beat-and-raise quarter, supported by durable gaming demand and consumer spending that is improving as self-serve onboarding, creative automation, and model upgrades take effect.</w:t>
      </w:r>
    </w:p>
    <w:p>
      <w:pPr>
        <w:pStyle w:val="BodyText"/>
      </w:pPr>
      <w:r>
        <w:t xml:space="preserve">Potential bullish signals:</w:t>
      </w:r>
    </w:p>
    <w:p>
      <w:pPr>
        <w:pStyle w:val="Compact"/>
        <w:numPr>
          <w:ilvl w:val="0"/>
          <w:numId w:val="1008"/>
        </w:numPr>
      </w:pPr>
      <w:r>
        <w:t xml:space="preserve">Revenue and EBITDA above the high end of guidance</w:t>
      </w:r>
    </w:p>
    <w:p>
      <w:pPr>
        <w:pStyle w:val="Compact"/>
        <w:numPr>
          <w:ilvl w:val="0"/>
          <w:numId w:val="1008"/>
        </w:numPr>
      </w:pPr>
      <w:r>
        <w:t xml:space="preserve">3Q guidance sustaining strong year-over-year and sequential growth</w:t>
      </w:r>
    </w:p>
    <w:p>
      <w:pPr>
        <w:pStyle w:val="Compact"/>
        <w:numPr>
          <w:ilvl w:val="0"/>
          <w:numId w:val="1008"/>
        </w:numPr>
      </w:pPr>
      <w:r>
        <w:t xml:space="preserve">Consumer spend accelerating in July after the June platform opening</w:t>
      </w:r>
    </w:p>
    <w:p>
      <w:pPr>
        <w:pStyle w:val="Compact"/>
        <w:numPr>
          <w:ilvl w:val="0"/>
          <w:numId w:val="1008"/>
        </w:numPr>
      </w:pPr>
      <w:r>
        <w:t xml:space="preserve">High-quality retention and rapid ramp among new self-serve cohorts</w:t>
      </w:r>
    </w:p>
    <w:p>
      <w:pPr>
        <w:pStyle w:val="Compact"/>
        <w:numPr>
          <w:ilvl w:val="0"/>
          <w:numId w:val="1008"/>
        </w:numPr>
      </w:pPr>
      <w:r>
        <w:t xml:space="preserve">EBITDA margin holding near 85% despite incremental marketing</w:t>
      </w:r>
    </w:p>
    <w:p>
      <w:pPr>
        <w:pStyle w:val="Compact"/>
        <w:numPr>
          <w:ilvl w:val="0"/>
          <w:numId w:val="1008"/>
        </w:numPr>
      </w:pPr>
      <w:r>
        <w:t xml:space="preserve">Continued aggressive buybacks funded by operating cash generation</w:t>
      </w:r>
    </w:p>
    <w:p>
      <w:pPr>
        <w:pStyle w:val="FirstParagraph"/>
      </w:pPr>
      <w:r>
        <w:t xml:space="preserve">In this scenario, the July selloff would look like an opportunity created by noisy third-party indicators rather than a fundamental inflection.</w:t>
      </w:r>
    </w:p>
    <w:p>
      <w:r>
        <w:pict>
          <v:rect style="width:0;height:1.5pt" o:hralign="center" o:hrstd="t" o:hr="t"/>
        </w:pict>
      </w:r>
    </w:p>
    <w:bookmarkEnd w:id="18"/>
    <w:bookmarkStart w:id="19" w:name="bear-case"/>
    <w:p>
      <w:pPr>
        <w:pStyle w:val="Heading2"/>
      </w:pPr>
      <w:r>
        <w:t xml:space="preserve">Bear case</w:t>
      </w:r>
    </w:p>
    <w:p>
      <w:pPr>
        <w:pStyle w:val="FirstParagraph"/>
      </w:pPr>
      <w:r>
        <w:t xml:space="preserve">The bearish case is not necessarily an outright 2Q miss. Rather, it is a quarter that confirms that consumer-advertising adoption is taking longer to scale than expected while the core gaming business naturally decelerates against a much larger base.</w:t>
      </w:r>
    </w:p>
    <w:p>
      <w:pPr>
        <w:pStyle w:val="BodyText"/>
      </w:pPr>
      <w:r>
        <w:t xml:space="preserve">Potential bearish signals:</w:t>
      </w:r>
    </w:p>
    <w:p>
      <w:pPr>
        <w:pStyle w:val="Compact"/>
        <w:numPr>
          <w:ilvl w:val="0"/>
          <w:numId w:val="1009"/>
        </w:numPr>
      </w:pPr>
      <w:r>
        <w:t xml:space="preserve">Revenue lands near the low end of guidance or below consensus</w:t>
      </w:r>
    </w:p>
    <w:p>
      <w:pPr>
        <w:pStyle w:val="Compact"/>
        <w:numPr>
          <w:ilvl w:val="0"/>
          <w:numId w:val="1009"/>
        </w:numPr>
      </w:pPr>
      <w:r>
        <w:t xml:space="preserve">3Q outlook implies a material deceleration</w:t>
      </w:r>
    </w:p>
    <w:p>
      <w:pPr>
        <w:pStyle w:val="Compact"/>
        <w:numPr>
          <w:ilvl w:val="0"/>
          <w:numId w:val="1009"/>
        </w:numPr>
      </w:pPr>
      <w:r>
        <w:t xml:space="preserve">Management cites slower onboarding, weak spend conversion, or a longer learning period for consumer advertisers</w:t>
      </w:r>
    </w:p>
    <w:p>
      <w:pPr>
        <w:pStyle w:val="Compact"/>
        <w:numPr>
          <w:ilvl w:val="0"/>
          <w:numId w:val="1009"/>
        </w:numPr>
      </w:pPr>
      <w:r>
        <w:t xml:space="preserve">Margin falls more than expected because sales and marketing, cloud, or creative-tool investments rise faster than revenue</w:t>
      </w:r>
    </w:p>
    <w:p>
      <w:pPr>
        <w:pStyle w:val="Compact"/>
        <w:numPr>
          <w:ilvl w:val="0"/>
          <w:numId w:val="1009"/>
        </w:numPr>
      </w:pPr>
      <w:r>
        <w:t xml:space="preserve">Gaming growth moderates without consumer demand being large enough to offset it</w:t>
      </w:r>
    </w:p>
    <w:p>
      <w:pPr>
        <w:pStyle w:val="Compact"/>
        <w:numPr>
          <w:ilvl w:val="0"/>
          <w:numId w:val="1009"/>
        </w:numPr>
      </w:pPr>
      <w:r>
        <w:t xml:space="preserve">Limited detail on self-serve cohort retention, spend, or conversion</w:t>
      </w:r>
    </w:p>
    <w:p>
      <w:pPr>
        <w:pStyle w:val="FirstParagraph"/>
      </w:pPr>
      <w:r>
        <w:t xml:space="preserve">This outcome would pressure the thesis that AppLovin can convert its success in mobile gaming into a broad performance-advertising platform at similar economics.</w:t>
      </w:r>
    </w:p>
    <w:p>
      <w:r>
        <w:pict>
          <v:rect style="width:0;height:1.5pt" o:hralign="center" o:hrstd="t" o:hr="t"/>
        </w:pict>
      </w:r>
    </w:p>
    <w:bookmarkEnd w:id="19"/>
    <w:bookmarkStart w:id="20" w:name="Xe9ad0ed1b945f188c7384ff15538e2f9ebbd3dd"/>
    <w:p>
      <w:pPr>
        <w:pStyle w:val="Heading2"/>
      </w:pPr>
      <w:r>
        <w:t xml:space="preserve">Earnings setup: what constitutes “good enough”?</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Likely investor interpretation</w:t>
            </w:r>
          </w:p>
        </w:tc>
      </w:tr>
      <w:tr>
        <w:tc>
          <w:tcPr/>
          <w:p>
            <w:pPr>
              <w:pStyle w:val="Compact"/>
            </w:pPr>
            <w:r>
              <w:rPr>
                <w:b/>
                <w:bCs/>
              </w:rPr>
              <w:t xml:space="preserve">Beat + 3Q guide above expectations + strong consumer commentary</w:t>
            </w:r>
          </w:p>
        </w:tc>
        <w:tc>
          <w:tcPr/>
          <w:p>
            <w:pPr>
              <w:pStyle w:val="Compact"/>
            </w:pPr>
            <w:r>
              <w:t xml:space="preserve">Clears the key debate; likely viewed very positively</w:t>
            </w:r>
          </w:p>
        </w:tc>
      </w:tr>
      <w:tr>
        <w:tc>
          <w:tcPr/>
          <w:p>
            <w:pPr>
              <w:pStyle w:val="Compact"/>
            </w:pPr>
            <w:r>
              <w:rPr>
                <w:b/>
                <w:bCs/>
              </w:rPr>
              <w:t xml:space="preserve">Small beat + in-line guide + solid gaming, vague consumer update</w:t>
            </w:r>
          </w:p>
        </w:tc>
        <w:tc>
          <w:tcPr/>
          <w:p>
            <w:pPr>
              <w:pStyle w:val="Compact"/>
            </w:pPr>
            <w:r>
              <w:t xml:space="preserve">Fundamentally fine, but may not be enough to drive a major rerating</w:t>
            </w:r>
          </w:p>
        </w:tc>
      </w:tr>
      <w:tr>
        <w:tc>
          <w:tcPr/>
          <w:p>
            <w:pPr>
              <w:pStyle w:val="Compact"/>
            </w:pPr>
            <w:r>
              <w:rPr>
                <w:b/>
                <w:bCs/>
              </w:rPr>
              <w:t xml:space="preserve">In-line results + lower sequential guide or cautious consumer commentary</w:t>
            </w:r>
          </w:p>
        </w:tc>
        <w:tc>
          <w:tcPr/>
          <w:p>
            <w:pPr>
              <w:pStyle w:val="Compact"/>
            </w:pPr>
            <w:r>
              <w:t xml:space="preserve">Negative; reinforces concern that e-commerce scaling is slowing</w:t>
            </w:r>
          </w:p>
        </w:tc>
      </w:tr>
      <w:tr>
        <w:tc>
          <w:tcPr/>
          <w:p>
            <w:pPr>
              <w:pStyle w:val="Compact"/>
            </w:pPr>
            <w:r>
              <w:rPr>
                <w:b/>
                <w:bCs/>
              </w:rPr>
              <w:t xml:space="preserve">Miss or margin compression without a clear investment-return explanation</w:t>
            </w:r>
          </w:p>
        </w:tc>
        <w:tc>
          <w:tcPr/>
          <w:p>
            <w:pPr>
              <w:pStyle w:val="Compact"/>
            </w:pPr>
            <w:r>
              <w:t xml:space="preserve">Materially negative, given APP’s premium growth-and-profitability narrative</w:t>
            </w:r>
          </w:p>
        </w:tc>
      </w:tr>
    </w:tbl>
    <w:p>
      <w:r>
        <w:pict>
          <v:rect style="width:0;height:1.5pt" o:hralign="center" o:hrstd="t" o:hr="t"/>
        </w:pict>
      </w:r>
    </w:p>
    <w:bookmarkEnd w:id="20"/>
    <w:bookmarkStart w:id="22" w:name="investment-view-into-the-print"/>
    <w:p>
      <w:pPr>
        <w:pStyle w:val="Heading2"/>
      </w:pPr>
      <w:r>
        <w:t xml:space="preserve">Investment view into the print</w:t>
      </w:r>
    </w:p>
    <w:p>
      <w:pPr>
        <w:pStyle w:val="FirstParagraph"/>
      </w:pPr>
      <w:r>
        <w:t xml:space="preserve">APP remains a differentiated earnings setup because it is attempting to prove that a platform built around highly effective mobile-game performance advertising can become a much broader consumer-advertising engine. The company has already demonstrated rare operating leverage: 59% year-over-year revenue growth, an 85% adjusted EBITDA margin, and more than $1.2 billion of quarterly free cash flow in 1Q.</w:t>
      </w:r>
    </w:p>
    <w:p>
      <w:pPr>
        <w:pStyle w:val="BodyText"/>
      </w:pPr>
      <w:r>
        <w:t xml:space="preserve">But the market no longer appears willing to capitalize that performance on faith alone.</w:t>
      </w:r>
      <w:r>
        <w:t xml:space="preserve"> </w:t>
      </w:r>
      <w:r>
        <w:rPr>
          <w:b/>
          <w:bCs/>
        </w:rPr>
        <w:t xml:space="preserve">2Q is principally a proof point on the durability of the consumer-advertising expansion.</w:t>
      </w:r>
      <w:r>
        <w:t xml:space="preserve"> </w:t>
      </w:r>
      <w:r>
        <w:t xml:space="preserve">Investors should prioritize the quality of management’s metrics and commentary on post-launch advertiser behavior, as well as the 3Q outlook, over small differences in the reported 2Q headline results.</w:t>
      </w:r>
    </w:p>
    <w:bookmarkStart w:id="21" w:name="research-basis"/>
    <w:p>
      <w:pPr>
        <w:pStyle w:val="Heading3"/>
      </w:pPr>
      <w:r>
        <w:t xml:space="preserve">Research basis</w:t>
      </w:r>
    </w:p>
    <w:p>
      <w:pPr>
        <w:pStyle w:val="Compact"/>
        <w:numPr>
          <w:ilvl w:val="0"/>
          <w:numId w:val="1010"/>
        </w:numPr>
      </w:pPr>
      <w:r>
        <w:t xml:space="preserve">AppLovin 1Q26 earnings release and financial statements, released May 6, 2026</w:t>
      </w:r>
    </w:p>
    <w:p>
      <w:pPr>
        <w:pStyle w:val="Compact"/>
        <w:numPr>
          <w:ilvl w:val="0"/>
          <w:numId w:val="1010"/>
        </w:numPr>
      </w:pPr>
      <w:r>
        <w:t xml:space="preserve">AppLovin 1Q26 earnings-call transcript</w:t>
      </w:r>
    </w:p>
    <w:p>
      <w:pPr>
        <w:pStyle w:val="Compact"/>
        <w:numPr>
          <w:ilvl w:val="0"/>
          <w:numId w:val="1010"/>
        </w:numPr>
      </w:pPr>
      <w:r>
        <w:t xml:space="preserve">AppLovin 1Q26 Form 10-Q</w:t>
      </w:r>
    </w:p>
    <w:p>
      <w:pPr>
        <w:pStyle w:val="Compact"/>
        <w:numPr>
          <w:ilvl w:val="0"/>
          <w:numId w:val="1010"/>
        </w:numPr>
      </w:pPr>
      <w:r>
        <w:t xml:space="preserve">Recent APP market and earnings-preview news; APP closing-price data through August 4,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2026-08-05T01:08:04Z</dcterms:created>
  <dcterms:modified xsi:type="dcterms:W3CDTF">2026-08-05T01:08:04Z</dcterms:modified>
</cp:coreProperties>
</file>

<file path=docProps/custom.xml><?xml version="1.0" encoding="utf-8"?>
<Properties xmlns="http://schemas.openxmlformats.org/officeDocument/2006/custom-properties" xmlns:vt="http://schemas.openxmlformats.org/officeDocument/2006/docPropsVTypes"/>
</file>