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AppLovin Corporation (APP)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AppLovin Corporation</w:t>
            </w:r>
          </w:p>
        </w:tc>
      </w:tr>
      <w:tr>
        <w:tc>
          <w:tcPr>
            <w:tcW w:type="dxa" w:w="4320"/>
          </w:tcPr>
          <w:p>
            <w:r>
              <w:rPr>
                <w:rFonts w:ascii="Calibri" w:hAnsi="Calibri"/>
                <w:b/>
                <w:sz w:val="22"/>
              </w:rPr>
              <w:t>Ticker</w:t>
            </w:r>
          </w:p>
        </w:tc>
        <w:tc>
          <w:tcPr>
            <w:tcW w:type="dxa" w:w="4320"/>
          </w:tcPr>
          <w:p>
            <w:r>
              <w:rPr>
                <w:rFonts w:ascii="Calibri" w:hAnsi="Calibri"/>
                <w:sz w:val="22"/>
              </w:rPr>
              <w:t>APP (NASDAQ)</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Expected Earnings Date</w:t>
            </w:r>
          </w:p>
        </w:tc>
        <w:tc>
          <w:tcPr>
            <w:tcW w:type="dxa" w:w="4320"/>
          </w:tcPr>
          <w:p>
            <w:r>
              <w:rPr>
                <w:rFonts w:ascii="Calibri" w:hAnsi="Calibri"/>
                <w:sz w:val="22"/>
              </w:rPr>
              <w:t>Mid-August 2026 (TBD)</w:t>
            </w:r>
          </w:p>
        </w:tc>
      </w:tr>
      <w:tr>
        <w:tc>
          <w:tcPr>
            <w:tcW w:type="dxa" w:w="4320"/>
          </w:tcPr>
          <w:p>
            <w:r>
              <w:rPr>
                <w:rFonts w:ascii="Calibri" w:hAnsi="Calibri"/>
                <w:b/>
                <w:sz w:val="22"/>
              </w:rPr>
              <w:t>Last Earnings</w:t>
            </w:r>
          </w:p>
        </w:tc>
        <w:tc>
          <w:tcPr>
            <w:tcW w:type="dxa" w:w="4320"/>
          </w:tcPr>
          <w:p>
            <w:r>
              <w:rPr>
                <w:rFonts w:ascii="Calibri" w:hAnsi="Calibri"/>
                <w:sz w:val="22"/>
              </w:rPr>
              <w:t>Q1 2026 — May 6, 2026</w:t>
            </w:r>
          </w:p>
        </w:tc>
      </w:tr>
      <w:tr>
        <w:tc>
          <w:tcPr>
            <w:tcW w:type="dxa" w:w="4320"/>
          </w:tcPr>
          <w:p>
            <w:r>
              <w:rPr>
                <w:rFonts w:ascii="Calibri" w:hAnsi="Calibri"/>
                <w:b/>
                <w:sz w:val="22"/>
              </w:rPr>
              <w:t>Prepared Date</w:t>
            </w:r>
          </w:p>
        </w:tc>
        <w:tc>
          <w:tcPr>
            <w:tcW w:type="dxa" w:w="4320"/>
          </w:tcPr>
          <w:p>
            <w:r>
              <w:rPr>
                <w:rFonts w:ascii="Calibri" w:hAnsi="Calibri"/>
                <w:sz w:val="22"/>
              </w:rPr>
              <w:t>August 4, 2026</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The setup into Q2 2026 is constructive — consensus sits at the midpoint of guidance, the consumer vertical was accelerating into the quarter, and the June platform opening is the single biggest swing factor for whether APP can sustain its beat cadence.</w:t>
      </w:r>
    </w:p>
    <w:p>
      <w:r>
        <w:rPr>
          <w:rFonts w:ascii="Calibri" w:hAnsi="Calibri"/>
          <w:color w:val="525866"/>
          <w:sz w:val="22"/>
        </w:rPr>
        <w:t xml:space="preserve">AppLovin heads into Q2 2026 with a well-defined bar: management guided revenue to $1.915–$1.945B (midpoint $1.930B) and Adjusted EBITDA to $1.615–$1.645B (midpoint $1.630B), and consensus sits essentially at those midpoints ($1.947B revenue, $1.645B EBITDA per Visible Alpha), implying the Street has already baked in a modest beat above the guidance midpoint. </w:t>
      </w:r>
    </w:p>
    <w:p>
      <w:r>
        <w:rPr>
          <w:rFonts w:ascii="Calibri" w:hAnsi="Calibri"/>
          <w:color w:val="525866"/>
          <w:sz w:val="22"/>
        </w:rPr>
        <w:t xml:space="preserve">Management’s tone on the Q1 call was the most bullish in the company’s history — CEO Adam Foroughi opened by explicitly setting aside any preamble on stock price or short sellers, pivoting entirely to an execution narrative, and quantified the consumer vertical opportunity at a potential $7B first-year revenue run-rate if 100,000 new advertisers onboard post the June platform opening. </w:t>
      </w:r>
    </w:p>
    <w:p>
      <w:r>
        <w:rPr>
          <w:rFonts w:ascii="Calibri" w:hAnsi="Calibri"/>
          <w:color w:val="525866"/>
          <w:sz w:val="22"/>
        </w:rPr>
        <w:t xml:space="preserve">Estimate revisions since the Q1 print have been essentially flat to slightly up, consistent with guidance, suggesting the Street is not yet pricing in meaningful upside from the platform opening — which is both a risk (if onboarding is slower than hoped) and a potential catalyst (if early self-serve data is strong). </w:t>
      </w:r>
    </w:p>
    <w:p>
      <w:r>
        <w:rPr>
          <w:rFonts w:ascii="Calibri" w:hAnsi="Calibri"/>
          <w:color w:val="525866"/>
          <w:sz w:val="22"/>
        </w:rPr>
        <w:t xml:space="preserve">The stock has given back roughly 10% since the Q1 earnings date (indexed to 89.5 vs. 100 at the May 6 print), underperforming the S&amp;P 500 (+5%) and the XLC communications ETF (-5%), despite the business continuing to execute — suggesting the market is in a “show me” mode on the platform opening. </w:t>
      </w:r>
    </w:p>
    <w:p>
      <w:r>
        <w:rPr>
          <w:rFonts w:ascii="Calibri" w:hAnsi="Calibri"/>
          <w:color w:val="525866"/>
          <w:sz w:val="22"/>
        </w:rPr>
        <w:t xml:space="preserve">The single biggest wildcard is the </w:t>
      </w:r>
      <w:r>
        <w:rPr>
          <w:rFonts w:ascii="Calibri" w:hAnsi="Calibri"/>
          <w:b/>
          <w:color w:val="525866"/>
          <w:sz w:val="22"/>
        </w:rPr>
        <w:t>pace of self-serve advertiser onboarding post the June platform opening</w:t>
      </w:r>
      <w:r>
        <w:rPr>
          <w:rFonts w:ascii="Calibri" w:hAnsi="Calibri"/>
          <w:color w:val="525866"/>
          <w:sz w:val="22"/>
        </w:rPr>
        <w:t>: if management can quantify early traction (spend per new advertiser, number of accounts live, conversion rates), the stock could re-rate sharply higher; if commentary is vague or early data is thin, the stock is likely to remain range-bound despite another clean beat on the core business.</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Consensus is essentially at the guidance midpoint — a moderate bar that APP has cleared every quarter since AXON 2.0 launched. The bigger swing factor is the consumer/e-commerce vertical: consensus implies ~$311M in Q2 e-commerce revenue, a step-up from Q1’s $268M actual, and any commentary on the June platform opening could move estimates materially in either direction.</w:t>
      </w:r>
    </w:p>
    <w:p>
      <w:pPr>
        <w:pStyle w:val="Heading2"/>
      </w:pPr>
      <w:r>
        <w:rPr>
          <w:rFonts w:ascii="Calibri" w:hAnsi="Calibri"/>
          <w:b/>
          <w:color w:val="3B4259"/>
          <w:sz w:val="28"/>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Quarter)</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Total Revenue ($M)</w:t>
            </w:r>
          </w:p>
        </w:tc>
        <w:tc>
          <w:tcPr>
            <w:tcW w:type="dxa" w:w="1234"/>
          </w:tcPr>
          <w:p>
            <w:r>
              <w:rPr>
                <w:rFonts w:ascii="Calibri" w:hAnsi="Calibri"/>
                <w:sz w:val="22"/>
              </w:rPr>
              <w:t>$1,842M</w:t>
            </w:r>
          </w:p>
        </w:tc>
        <w:tc>
          <w:tcPr>
            <w:tcW w:type="dxa" w:w="1234"/>
          </w:tcPr>
          <w:p>
            <w:r>
              <w:rPr>
                <w:rFonts w:ascii="Calibri" w:hAnsi="Calibri"/>
                <w:sz w:val="22"/>
              </w:rPr>
              <w:t>$1,259M</w:t>
            </w:r>
          </w:p>
        </w:tc>
        <w:tc>
          <w:tcPr>
            <w:tcW w:type="dxa" w:w="1234"/>
          </w:tcPr>
          <w:p>
            <w:r>
              <w:rPr>
                <w:rFonts w:ascii="Calibri" w:hAnsi="Calibri"/>
                <w:sz w:val="22"/>
              </w:rPr>
              <w:t>$1,947M</w:t>
            </w:r>
          </w:p>
        </w:tc>
        <w:tc>
          <w:tcPr>
            <w:tcW w:type="dxa" w:w="1234"/>
          </w:tcPr>
          <w:p>
            <w:r>
              <w:rPr>
                <w:rFonts w:ascii="Calibri" w:hAnsi="Calibri"/>
                <w:sz w:val="22"/>
              </w:rPr>
              <w:t>+55% YoY</w:t>
            </w:r>
          </w:p>
        </w:tc>
        <w:tc>
          <w:tcPr>
            <w:tcW w:type="dxa" w:w="1234"/>
          </w:tcPr>
          <w:p>
            <w:r>
              <w:rPr>
                <w:rFonts w:ascii="Calibri" w:hAnsi="Calibri"/>
                <w:sz w:val="22"/>
              </w:rPr>
              <w:t>$1,915–$1,945M (mid: $1,930M)</w:t>
            </w:r>
          </w:p>
        </w:tc>
        <w:tc>
          <w:tcPr>
            <w:tcW w:type="dxa" w:w="1234"/>
          </w:tcPr>
          <w:p>
            <w:r>
              <w:rPr>
                <w:rFonts w:ascii="Calibri" w:hAnsi="Calibri"/>
                <w:sz w:val="22"/>
              </w:rPr>
              <w:t>+0.9% above mid</w:t>
            </w:r>
          </w:p>
        </w:tc>
      </w:tr>
      <w:tr>
        <w:tc>
          <w:tcPr>
            <w:tcW w:type="dxa" w:w="1234"/>
          </w:tcPr>
          <w:p>
            <w:r>
              <w:rPr>
                <w:rFonts w:ascii="Calibri" w:hAnsi="Calibri"/>
                <w:sz w:val="22"/>
              </w:rPr>
              <w:t>Adjusted EBITDA ($M)</w:t>
            </w:r>
          </w:p>
        </w:tc>
        <w:tc>
          <w:tcPr>
            <w:tcW w:type="dxa" w:w="1234"/>
          </w:tcPr>
          <w:p>
            <w:r>
              <w:rPr>
                <w:rFonts w:ascii="Calibri" w:hAnsi="Calibri"/>
                <w:sz w:val="22"/>
              </w:rPr>
              <w:t>$1,557M</w:t>
            </w:r>
          </w:p>
        </w:tc>
        <w:tc>
          <w:tcPr>
            <w:tcW w:type="dxa" w:w="1234"/>
          </w:tcPr>
          <w:p>
            <w:r>
              <w:rPr>
                <w:rFonts w:ascii="Calibri" w:hAnsi="Calibri"/>
                <w:sz w:val="22"/>
              </w:rPr>
              <w:t>$1,018M</w:t>
            </w:r>
          </w:p>
        </w:tc>
        <w:tc>
          <w:tcPr>
            <w:tcW w:type="dxa" w:w="1234"/>
          </w:tcPr>
          <w:p>
            <w:r>
              <w:rPr>
                <w:rFonts w:ascii="Calibri" w:hAnsi="Calibri"/>
                <w:sz w:val="22"/>
              </w:rPr>
              <w:t>$1,645M</w:t>
            </w:r>
          </w:p>
        </w:tc>
        <w:tc>
          <w:tcPr>
            <w:tcW w:type="dxa" w:w="1234"/>
          </w:tcPr>
          <w:p>
            <w:r>
              <w:rPr>
                <w:rFonts w:ascii="Calibri" w:hAnsi="Calibri"/>
                <w:sz w:val="22"/>
              </w:rPr>
              <w:t>+62% YoY</w:t>
            </w:r>
          </w:p>
        </w:tc>
        <w:tc>
          <w:tcPr>
            <w:tcW w:type="dxa" w:w="1234"/>
          </w:tcPr>
          <w:p>
            <w:r>
              <w:rPr>
                <w:rFonts w:ascii="Calibri" w:hAnsi="Calibri"/>
                <w:sz w:val="22"/>
              </w:rPr>
              <w:t>$1,615–$1,645M (mid: $1,630M)</w:t>
            </w:r>
          </w:p>
        </w:tc>
        <w:tc>
          <w:tcPr>
            <w:tcW w:type="dxa" w:w="1234"/>
          </w:tcPr>
          <w:p>
            <w:r>
              <w:rPr>
                <w:rFonts w:ascii="Calibri" w:hAnsi="Calibri"/>
                <w:sz w:val="22"/>
              </w:rPr>
              <w:t>+0.9% above mid</w:t>
            </w:r>
          </w:p>
        </w:tc>
      </w:tr>
      <w:tr>
        <w:tc>
          <w:tcPr>
            <w:tcW w:type="dxa" w:w="1234"/>
          </w:tcPr>
          <w:p>
            <w:r>
              <w:rPr>
                <w:rFonts w:ascii="Calibri" w:hAnsi="Calibri"/>
                <w:sz w:val="22"/>
              </w:rPr>
              <w:t>Adj. EBITDA Margin (%)</w:t>
            </w:r>
          </w:p>
        </w:tc>
        <w:tc>
          <w:tcPr>
            <w:tcW w:type="dxa" w:w="1234"/>
          </w:tcPr>
          <w:p>
            <w:r>
              <w:rPr>
                <w:rFonts w:ascii="Calibri" w:hAnsi="Calibri"/>
                <w:sz w:val="22"/>
              </w:rPr>
              <w:t>84.5%</w:t>
            </w:r>
          </w:p>
        </w:tc>
        <w:tc>
          <w:tcPr>
            <w:tcW w:type="dxa" w:w="1234"/>
          </w:tcPr>
          <w:p>
            <w:r>
              <w:rPr>
                <w:rFonts w:ascii="Calibri" w:hAnsi="Calibri"/>
                <w:sz w:val="22"/>
              </w:rPr>
              <w:t>80.9%</w:t>
            </w:r>
          </w:p>
        </w:tc>
        <w:tc>
          <w:tcPr>
            <w:tcW w:type="dxa" w:w="1234"/>
          </w:tcPr>
          <w:p>
            <w:r>
              <w:rPr>
                <w:rFonts w:ascii="Calibri" w:hAnsi="Calibri"/>
                <w:sz w:val="22"/>
              </w:rPr>
              <w:t>84.5%</w:t>
            </w:r>
          </w:p>
        </w:tc>
        <w:tc>
          <w:tcPr>
            <w:tcW w:type="dxa" w:w="1234"/>
          </w:tcPr>
          <w:p>
            <w:r>
              <w:rPr>
                <w:rFonts w:ascii="Calibri" w:hAnsi="Calibri"/>
                <w:sz w:val="22"/>
              </w:rPr>
              <w:t>+360 bps YoY</w:t>
            </w:r>
          </w:p>
        </w:tc>
        <w:tc>
          <w:tcPr>
            <w:tcW w:type="dxa" w:w="1234"/>
          </w:tcPr>
          <w:p>
            <w:r>
              <w:rPr>
                <w:rFonts w:ascii="Calibri" w:hAnsi="Calibri"/>
                <w:sz w:val="22"/>
              </w:rPr>
              <w:t>84%–85%</w:t>
            </w:r>
          </w:p>
        </w:tc>
        <w:tc>
          <w:tcPr>
            <w:tcW w:type="dxa" w:w="1234"/>
          </w:tcPr>
          <w:p>
            <w:r>
              <w:rPr>
                <w:rFonts w:ascii="Calibri" w:hAnsi="Calibri"/>
                <w:sz w:val="22"/>
              </w:rPr>
              <w:t>At midpoint</w:t>
            </w:r>
          </w:p>
        </w:tc>
      </w:tr>
      <w:tr>
        <w:tc>
          <w:tcPr>
            <w:tcW w:type="dxa" w:w="1234"/>
          </w:tcPr>
          <w:p>
            <w:r>
              <w:rPr>
                <w:rFonts w:ascii="Calibri" w:hAnsi="Calibri"/>
                <w:sz w:val="22"/>
              </w:rPr>
              <w:t>Operating EPS — Diluted ($)</w:t>
            </w:r>
          </w:p>
        </w:tc>
        <w:tc>
          <w:tcPr>
            <w:tcW w:type="dxa" w:w="1234"/>
          </w:tcPr>
          <w:p>
            <w:r>
              <w:rPr>
                <w:rFonts w:ascii="Calibri" w:hAnsi="Calibri"/>
                <w:sz w:val="22"/>
              </w:rPr>
              <w:t>$3.86</w:t>
            </w:r>
          </w:p>
        </w:tc>
        <w:tc>
          <w:tcPr>
            <w:tcW w:type="dxa" w:w="1234"/>
          </w:tcPr>
          <w:p>
            <w:r>
              <w:rPr>
                <w:rFonts w:ascii="Calibri" w:hAnsi="Calibri"/>
                <w:sz w:val="22"/>
              </w:rPr>
              <w:t>$2.49</w:t>
            </w:r>
          </w:p>
        </w:tc>
        <w:tc>
          <w:tcPr>
            <w:tcW w:type="dxa" w:w="1234"/>
          </w:tcPr>
          <w:p>
            <w:r>
              <w:rPr>
                <w:rFonts w:ascii="Calibri" w:hAnsi="Calibri"/>
                <w:sz w:val="22"/>
              </w:rPr>
              <w:t>$4.09</w:t>
            </w:r>
          </w:p>
        </w:tc>
        <w:tc>
          <w:tcPr>
            <w:tcW w:type="dxa" w:w="1234"/>
          </w:tcPr>
          <w:p>
            <w:r>
              <w:rPr>
                <w:rFonts w:ascii="Calibri" w:hAnsi="Calibri"/>
                <w:sz w:val="22"/>
              </w:rPr>
              <w:t>+64% YoY</w:t>
            </w:r>
          </w:p>
        </w:tc>
        <w:tc>
          <w:tcPr>
            <w:tcW w:type="dxa" w:w="1234"/>
          </w:tcPr>
          <w:p>
            <w:r>
              <w:rPr>
                <w:rFonts w:ascii="Calibri" w:hAnsi="Calibri"/>
                <w:sz w:val="22"/>
              </w:rPr>
              <w:t>N/A (not guided)</w:t>
            </w:r>
          </w:p>
        </w:tc>
        <w:tc>
          <w:tcPr>
            <w:tcW w:type="dxa" w:w="1234"/>
          </w:tcPr>
          <w:p>
            <w:r>
              <w:rPr>
                <w:rFonts w:ascii="Calibri" w:hAnsi="Calibri"/>
                <w:sz w:val="22"/>
              </w:rPr>
              <w:t>N/A</w:t>
            </w:r>
          </w:p>
        </w:tc>
      </w:tr>
      <w:tr>
        <w:tc>
          <w:tcPr>
            <w:tcW w:type="dxa" w:w="1234"/>
          </w:tcPr>
          <w:p>
            <w:r>
              <w:rPr>
                <w:rFonts w:ascii="Calibri" w:hAnsi="Calibri"/>
                <w:sz w:val="22"/>
              </w:rPr>
              <w:t>E-commerce Revenue ($M)</w:t>
            </w:r>
          </w:p>
        </w:tc>
        <w:tc>
          <w:tcPr>
            <w:tcW w:type="dxa" w:w="1234"/>
          </w:tcPr>
          <w:p>
            <w:r>
              <w:rPr>
                <w:rFonts w:ascii="Calibri" w:hAnsi="Calibri"/>
                <w:sz w:val="22"/>
              </w:rPr>
              <w:t>$268M</w:t>
            </w:r>
          </w:p>
        </w:tc>
        <w:tc>
          <w:tcPr>
            <w:tcW w:type="dxa" w:w="1234"/>
          </w:tcPr>
          <w:p>
            <w:r>
              <w:rPr>
                <w:rFonts w:ascii="Calibri" w:hAnsi="Calibri"/>
                <w:sz w:val="22"/>
              </w:rPr>
              <w:t>$131M</w:t>
            </w:r>
          </w:p>
        </w:tc>
        <w:tc>
          <w:tcPr>
            <w:tcW w:type="dxa" w:w="1234"/>
          </w:tcPr>
          <w:p>
            <w:r>
              <w:rPr>
                <w:rFonts w:ascii="Calibri" w:hAnsi="Calibri"/>
                <w:sz w:val="22"/>
              </w:rPr>
              <w:t>$311M</w:t>
            </w:r>
          </w:p>
        </w:tc>
        <w:tc>
          <w:tcPr>
            <w:tcW w:type="dxa" w:w="1234"/>
          </w:tcPr>
          <w:p>
            <w:r>
              <w:rPr>
                <w:rFonts w:ascii="Calibri" w:hAnsi="Calibri"/>
                <w:sz w:val="22"/>
              </w:rPr>
              <w:t>+137% YoY</w:t>
            </w:r>
          </w:p>
        </w:tc>
        <w:tc>
          <w:tcPr>
            <w:tcW w:type="dxa" w:w="1234"/>
          </w:tcPr>
          <w:p>
            <w:r>
              <w:rPr>
                <w:rFonts w:ascii="Calibri" w:hAnsi="Calibri"/>
                <w:sz w:val="22"/>
              </w:rPr>
              <w:t>N/A (not guided separately)</w:t>
            </w:r>
          </w:p>
        </w:tc>
        <w:tc>
          <w:tcPr>
            <w:tcW w:type="dxa" w:w="1234"/>
          </w:tcPr>
          <w:p>
            <w:r>
              <w:rPr>
                <w:rFonts w:ascii="Calibri" w:hAnsi="Calibri"/>
                <w:sz w:val="22"/>
              </w:rPr>
              <w:t>N/A</w:t>
            </w:r>
          </w:p>
        </w:tc>
      </w:tr>
      <w:tr>
        <w:tc>
          <w:tcPr>
            <w:tcW w:type="dxa" w:w="1234"/>
          </w:tcPr>
          <w:p>
            <w:r>
              <w:rPr>
                <w:rFonts w:ascii="Calibri" w:hAnsi="Calibri"/>
                <w:sz w:val="22"/>
              </w:rPr>
              <w:t>Gaming Ad Revenue ($M)</w:t>
            </w:r>
          </w:p>
        </w:tc>
        <w:tc>
          <w:tcPr>
            <w:tcW w:type="dxa" w:w="1234"/>
          </w:tcPr>
          <w:p>
            <w:r>
              <w:rPr>
                <w:rFonts w:ascii="Calibri" w:hAnsi="Calibri"/>
                <w:sz w:val="22"/>
              </w:rPr>
              <w:t>$1,574M</w:t>
            </w:r>
          </w:p>
        </w:tc>
        <w:tc>
          <w:tcPr>
            <w:tcW w:type="dxa" w:w="1234"/>
          </w:tcPr>
          <w:p>
            <w:r>
              <w:rPr>
                <w:rFonts w:ascii="Calibri" w:hAnsi="Calibri"/>
                <w:sz w:val="22"/>
              </w:rPr>
              <w:t>$1,127M</w:t>
            </w:r>
          </w:p>
        </w:tc>
        <w:tc>
          <w:tcPr>
            <w:tcW w:type="dxa" w:w="1234"/>
          </w:tcPr>
          <w:p>
            <w:r>
              <w:rPr>
                <w:rFonts w:ascii="Calibri" w:hAnsi="Calibri"/>
                <w:sz w:val="22"/>
              </w:rPr>
              <w:t>$1,640M</w:t>
            </w:r>
          </w:p>
        </w:tc>
        <w:tc>
          <w:tcPr>
            <w:tcW w:type="dxa" w:w="1234"/>
          </w:tcPr>
          <w:p>
            <w:r>
              <w:rPr>
                <w:rFonts w:ascii="Calibri" w:hAnsi="Calibri"/>
                <w:sz w:val="22"/>
              </w:rPr>
              <w:t>+45% YoY</w:t>
            </w:r>
          </w:p>
        </w:tc>
        <w:tc>
          <w:tcPr>
            <w:tcW w:type="dxa" w:w="1234"/>
          </w:tcPr>
          <w:p>
            <w:r>
              <w:rPr>
                <w:rFonts w:ascii="Calibri" w:hAnsi="Calibri"/>
                <w:sz w:val="22"/>
              </w:rPr>
              <w:t>N/A (not guided separately)</w:t>
            </w:r>
          </w:p>
        </w:tc>
        <w:tc>
          <w:tcPr>
            <w:tcW w:type="dxa" w:w="1234"/>
          </w:tcPr>
          <w:p>
            <w:r>
              <w:rPr>
                <w:rFonts w:ascii="Calibri" w:hAnsi="Calibri"/>
                <w:sz w:val="22"/>
              </w:rPr>
              <w:t>N/A</w:t>
            </w:r>
          </w:p>
        </w:tc>
      </w:tr>
      <w:tr>
        <w:tc>
          <w:tcPr>
            <w:tcW w:type="dxa" w:w="1234"/>
          </w:tcPr>
          <w:p>
            <w:r>
              <w:rPr>
                <w:rFonts w:ascii="Calibri" w:hAnsi="Calibri"/>
                <w:sz w:val="22"/>
              </w:rPr>
              <w:t>Free Cash Flow ($M)</w:t>
            </w:r>
          </w:p>
        </w:tc>
        <w:tc>
          <w:tcPr>
            <w:tcW w:type="dxa" w:w="1234"/>
          </w:tcPr>
          <w:p>
            <w:r>
              <w:rPr>
                <w:rFonts w:ascii="Calibri" w:hAnsi="Calibri"/>
                <w:sz w:val="22"/>
              </w:rPr>
              <w:t>$1,291M</w:t>
            </w:r>
          </w:p>
        </w:tc>
        <w:tc>
          <w:tcPr>
            <w:tcW w:type="dxa" w:w="1234"/>
          </w:tcPr>
          <w:p>
            <w:r>
              <w:rPr>
                <w:rFonts w:ascii="Calibri" w:hAnsi="Calibri"/>
                <w:sz w:val="22"/>
              </w:rPr>
              <w:t>$772M</w:t>
            </w:r>
          </w:p>
        </w:tc>
        <w:tc>
          <w:tcPr>
            <w:tcW w:type="dxa" w:w="1234"/>
          </w:tcPr>
          <w:p>
            <w:r>
              <w:rPr>
                <w:rFonts w:ascii="Calibri" w:hAnsi="Calibri"/>
                <w:sz w:val="22"/>
              </w:rPr>
              <w:t>$1,176M</w:t>
            </w:r>
          </w:p>
        </w:tc>
        <w:tc>
          <w:tcPr>
            <w:tcW w:type="dxa" w:w="1234"/>
          </w:tcPr>
          <w:p>
            <w:r>
              <w:rPr>
                <w:rFonts w:ascii="Calibri" w:hAnsi="Calibri"/>
                <w:sz w:val="22"/>
              </w:rPr>
              <w:t>+52% YoY</w:t>
            </w:r>
          </w:p>
        </w:tc>
        <w:tc>
          <w:tcPr>
            <w:tcW w:type="dxa" w:w="1234"/>
          </w:tcPr>
          <w:p>
            <w:r>
              <w:rPr>
                <w:rFonts w:ascii="Calibri" w:hAnsi="Calibri"/>
                <w:sz w:val="22"/>
              </w:rPr>
              <w:t>N/A (not guided)</w:t>
            </w:r>
          </w:p>
        </w:tc>
        <w:tc>
          <w:tcPr>
            <w:tcW w:type="dxa" w:w="1234"/>
          </w:tcPr>
          <w:p>
            <w:r>
              <w:rPr>
                <w:rFonts w:ascii="Calibri" w:hAnsi="Calibri"/>
                <w:sz w:val="22"/>
              </w:rPr>
              <w:t>N/A</w:t>
            </w:r>
          </w:p>
        </w:tc>
      </w:tr>
    </w:tbl>
    <w:p>
      <w:r>
        <w:rPr>
          <w:rFonts w:ascii="Calibri" w:hAnsi="Calibri"/>
          <w:color w:val="525866"/>
          <w:sz w:val="22"/>
        </w:rPr>
        <w:t>Sources: Visible Alpha consensus and actuals data; AppLovin Q1 2026 Earnings Release (May 6, 2026); AppLovin Q1 2026 Earnings Call Transcript (May 6, 2026). Consensus as of August 4, 2026.</w:t>
      </w:r>
    </w:p>
    <w:p>
      <w:pPr>
        <w:pStyle w:val="Heading2"/>
      </w:pPr>
      <w:r>
        <w:rPr>
          <w:rFonts w:ascii="Calibri" w:hAnsi="Calibri"/>
          <w:b/>
          <w:color w:val="3B4259"/>
          <w:sz w:val="28"/>
        </w:rPr>
        <w:t>Table 2 — Beat/Miss History (Last 8 Quarters, Top 2 KPIs)</w:t>
      </w:r>
    </w:p>
    <w:p>
      <w:pPr>
        <w:pStyle w:val="Heading3"/>
      </w:pPr>
      <w:r>
        <w:rPr>
          <w:rFonts w:ascii="Calibri" w:hAnsi="Calibri"/>
          <w:b/>
          <w:color w:val="3B4259"/>
          <w:sz w:val="24"/>
        </w:rPr>
        <w:t>Total Revenue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$1,842M</w:t>
            </w:r>
          </w:p>
        </w:tc>
        <w:tc>
          <w:tcPr>
            <w:tcW w:type="dxa" w:w="1728"/>
          </w:tcPr>
          <w:p>
            <w:r>
              <w:rPr>
                <w:rFonts w:ascii="Calibri" w:hAnsi="Calibri"/>
                <w:sz w:val="22"/>
              </w:rPr>
              <w:t>$1,773M</w:t>
            </w:r>
          </w:p>
        </w:tc>
        <w:tc>
          <w:tcPr>
            <w:tcW w:type="dxa" w:w="1728"/>
          </w:tcPr>
          <w:p>
            <w:r>
              <w:rPr>
                <w:rFonts w:ascii="Calibri" w:hAnsi="Calibri"/>
                <w:b/>
                <w:color w:val="30A46C"/>
                <w:sz w:val="22"/>
              </w:rPr>
              <w:t>+3.9%</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$1,658M</w:t>
            </w:r>
          </w:p>
        </w:tc>
        <w:tc>
          <w:tcPr>
            <w:tcW w:type="dxa" w:w="1728"/>
          </w:tcPr>
          <w:p>
            <w:r>
              <w:rPr>
                <w:rFonts w:ascii="Calibri" w:hAnsi="Calibri"/>
                <w:sz w:val="22"/>
              </w:rPr>
              <w:t>$1,622M</w:t>
            </w:r>
          </w:p>
        </w:tc>
        <w:tc>
          <w:tcPr>
            <w:tcW w:type="dxa" w:w="1728"/>
          </w:tcPr>
          <w:p>
            <w:r>
              <w:rPr>
                <w:rFonts w:ascii="Calibri" w:hAnsi="Calibri"/>
                <w:b/>
                <w:color w:val="30A46C"/>
                <w:sz w:val="22"/>
              </w:rPr>
              <w:t>+2.2%</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$1,405M</w:t>
            </w:r>
          </w:p>
        </w:tc>
        <w:tc>
          <w:tcPr>
            <w:tcW w:type="dxa" w:w="1728"/>
          </w:tcPr>
          <w:p>
            <w:r>
              <w:rPr>
                <w:rFonts w:ascii="Calibri" w:hAnsi="Calibri"/>
                <w:sz w:val="22"/>
              </w:rPr>
              <w:t>$1,345M</w:t>
            </w:r>
          </w:p>
        </w:tc>
        <w:tc>
          <w:tcPr>
            <w:tcW w:type="dxa" w:w="1728"/>
          </w:tcPr>
          <w:p>
            <w:r>
              <w:rPr>
                <w:rFonts w:ascii="Calibri" w:hAnsi="Calibri"/>
                <w:b/>
                <w:color w:val="30A46C"/>
                <w:sz w:val="22"/>
              </w:rPr>
              <w:t>+4.5%</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$1,259M</w:t>
            </w:r>
          </w:p>
        </w:tc>
        <w:tc>
          <w:tcPr>
            <w:tcW w:type="dxa" w:w="1728"/>
          </w:tcPr>
          <w:p>
            <w:r>
              <w:rPr>
                <w:rFonts w:ascii="Calibri" w:hAnsi="Calibri"/>
                <w:sz w:val="22"/>
              </w:rPr>
              <w:t>$1,274M</w:t>
            </w:r>
          </w:p>
        </w:tc>
        <w:tc>
          <w:tcPr>
            <w:tcW w:type="dxa" w:w="1728"/>
          </w:tcPr>
          <w:p>
            <w:r>
              <w:rPr>
                <w:rFonts w:ascii="Calibri" w:hAnsi="Calibri"/>
                <w:b/>
                <w:color w:val="E5484D"/>
                <w:sz w:val="22"/>
              </w:rPr>
              <w:t>-1.2%</w:t>
            </w:r>
          </w:p>
        </w:tc>
        <w:tc>
          <w:tcPr>
            <w:tcW w:type="dxa" w:w="1728"/>
          </w:tcPr>
          <w:p>
            <w:r>
              <w:rPr>
                <w:rFonts w:ascii="Calibri" w:hAnsi="Calibri"/>
                <w:b/>
                <w:color w:val="E5484D"/>
                <w:sz w:val="22"/>
              </w:rPr>
              <w:t>Miss</w:t>
            </w:r>
          </w:p>
        </w:tc>
      </w:tr>
      <w:tr>
        <w:tc>
          <w:tcPr>
            <w:tcW w:type="dxa" w:w="1728"/>
          </w:tcPr>
          <w:p>
            <w:r>
              <w:rPr>
                <w:rFonts w:ascii="Calibri" w:hAnsi="Calibri"/>
                <w:sz w:val="22"/>
              </w:rPr>
              <w:t>Q1 2025</w:t>
            </w:r>
          </w:p>
        </w:tc>
        <w:tc>
          <w:tcPr>
            <w:tcW w:type="dxa" w:w="1728"/>
          </w:tcPr>
          <w:p>
            <w:r>
              <w:rPr>
                <w:rFonts w:ascii="Calibri" w:hAnsi="Calibri"/>
                <w:sz w:val="22"/>
              </w:rPr>
              <w:t>$1,159M</w:t>
            </w:r>
          </w:p>
        </w:tc>
        <w:tc>
          <w:tcPr>
            <w:tcW w:type="dxa" w:w="1728"/>
          </w:tcPr>
          <w:p>
            <w:r>
              <w:rPr>
                <w:rFonts w:ascii="Calibri" w:hAnsi="Calibri"/>
                <w:sz w:val="22"/>
              </w:rPr>
              <w:t>$1,383M</w:t>
            </w:r>
          </w:p>
        </w:tc>
        <w:tc>
          <w:tcPr>
            <w:tcW w:type="dxa" w:w="1728"/>
          </w:tcPr>
          <w:p>
            <w:r>
              <w:rPr>
                <w:rFonts w:ascii="Calibri" w:hAnsi="Calibri"/>
                <w:b/>
                <w:color w:val="E5484D"/>
                <w:sz w:val="22"/>
              </w:rPr>
              <w:t>-16.2%</w:t>
            </w:r>
          </w:p>
        </w:tc>
        <w:tc>
          <w:tcPr>
            <w:tcW w:type="dxa" w:w="1728"/>
          </w:tcPr>
          <w:p>
            <w:r>
              <w:rPr>
                <w:rFonts w:ascii="Calibri" w:hAnsi="Calibri"/>
                <w:b/>
                <w:color w:val="E5484D"/>
                <w:sz w:val="22"/>
              </w:rPr>
              <w:t>Miss</w:t>
            </w:r>
          </w:p>
        </w:tc>
      </w:tr>
      <w:tr>
        <w:tc>
          <w:tcPr>
            <w:tcW w:type="dxa" w:w="1728"/>
          </w:tcPr>
          <w:p>
            <w:r>
              <w:rPr>
                <w:rFonts w:ascii="Calibri" w:hAnsi="Calibri"/>
                <w:sz w:val="22"/>
              </w:rPr>
              <w:t>Q4 2024</w:t>
            </w:r>
          </w:p>
        </w:tc>
        <w:tc>
          <w:tcPr>
            <w:tcW w:type="dxa" w:w="1728"/>
          </w:tcPr>
          <w:p>
            <w:r>
              <w:rPr>
                <w:rFonts w:ascii="Calibri" w:hAnsi="Calibri"/>
                <w:sz w:val="22"/>
              </w:rPr>
              <w:t>$999M</w:t>
            </w:r>
          </w:p>
        </w:tc>
        <w:tc>
          <w:tcPr>
            <w:tcW w:type="dxa" w:w="1728"/>
          </w:tcPr>
          <w:p>
            <w:r>
              <w:rPr>
                <w:rFonts w:ascii="Calibri" w:hAnsi="Calibri"/>
                <w:sz w:val="22"/>
              </w:rPr>
              <w:t>$1,264M</w:t>
            </w:r>
          </w:p>
        </w:tc>
        <w:tc>
          <w:tcPr>
            <w:tcW w:type="dxa" w:w="1728"/>
          </w:tcPr>
          <w:p>
            <w:r>
              <w:rPr>
                <w:rFonts w:ascii="Calibri" w:hAnsi="Calibri"/>
                <w:b/>
                <w:color w:val="E5484D"/>
                <w:sz w:val="22"/>
              </w:rPr>
              <w:t>-21.0%</w:t>
            </w:r>
          </w:p>
        </w:tc>
        <w:tc>
          <w:tcPr>
            <w:tcW w:type="dxa" w:w="1728"/>
          </w:tcPr>
          <w:p>
            <w:r>
              <w:rPr>
                <w:rFonts w:ascii="Calibri" w:hAnsi="Calibri"/>
                <w:b/>
                <w:color w:val="E5484D"/>
                <w:sz w:val="22"/>
              </w:rPr>
              <w:t>Miss</w:t>
            </w:r>
          </w:p>
        </w:tc>
      </w:tr>
      <w:tr>
        <w:tc>
          <w:tcPr>
            <w:tcW w:type="dxa" w:w="1728"/>
          </w:tcPr>
          <w:p>
            <w:r>
              <w:rPr>
                <w:rFonts w:ascii="Calibri" w:hAnsi="Calibri"/>
                <w:sz w:val="22"/>
              </w:rPr>
              <w:t>Q3 2024</w:t>
            </w:r>
          </w:p>
        </w:tc>
        <w:tc>
          <w:tcPr>
            <w:tcW w:type="dxa" w:w="1728"/>
          </w:tcPr>
          <w:p>
            <w:r>
              <w:rPr>
                <w:rFonts w:ascii="Calibri" w:hAnsi="Calibri"/>
                <w:sz w:val="22"/>
              </w:rPr>
              <w:t>$835M</w:t>
            </w:r>
          </w:p>
        </w:tc>
        <w:tc>
          <w:tcPr>
            <w:tcW w:type="dxa" w:w="1728"/>
          </w:tcPr>
          <w:p>
            <w:r>
              <w:rPr>
                <w:rFonts w:ascii="Calibri" w:hAnsi="Calibri"/>
                <w:sz w:val="22"/>
              </w:rPr>
              <w:t>$1,130M</w:t>
            </w:r>
          </w:p>
        </w:tc>
        <w:tc>
          <w:tcPr>
            <w:tcW w:type="dxa" w:w="1728"/>
          </w:tcPr>
          <w:p>
            <w:r>
              <w:rPr>
                <w:rFonts w:ascii="Calibri" w:hAnsi="Calibri"/>
                <w:b/>
                <w:color w:val="E5484D"/>
                <w:sz w:val="22"/>
              </w:rPr>
              <w:t>-26.1%</w:t>
            </w:r>
          </w:p>
        </w:tc>
        <w:tc>
          <w:tcPr>
            <w:tcW w:type="dxa" w:w="1728"/>
          </w:tcPr>
          <w:p>
            <w:r>
              <w:rPr>
                <w:rFonts w:ascii="Calibri" w:hAnsi="Calibri"/>
                <w:b/>
                <w:color w:val="E5484D"/>
                <w:sz w:val="22"/>
              </w:rPr>
              <w:t>Miss</w:t>
            </w:r>
          </w:p>
        </w:tc>
      </w:tr>
      <w:tr>
        <w:tc>
          <w:tcPr>
            <w:tcW w:type="dxa" w:w="1728"/>
          </w:tcPr>
          <w:p>
            <w:r>
              <w:rPr>
                <w:rFonts w:ascii="Calibri" w:hAnsi="Calibri"/>
                <w:sz w:val="22"/>
              </w:rPr>
              <w:t>Q2 2024</w:t>
            </w:r>
          </w:p>
        </w:tc>
        <w:tc>
          <w:tcPr>
            <w:tcW w:type="dxa" w:w="1728"/>
          </w:tcPr>
          <w:p>
            <w:r>
              <w:rPr>
                <w:rFonts w:ascii="Calibri" w:hAnsi="Calibri"/>
                <w:sz w:val="22"/>
              </w:rPr>
              <w:t>$1,080M</w:t>
            </w:r>
          </w:p>
        </w:tc>
        <w:tc>
          <w:tcPr>
            <w:tcW w:type="dxa" w:w="1728"/>
          </w:tcPr>
          <w:p>
            <w:r>
              <w:rPr>
                <w:rFonts w:ascii="Calibri" w:hAnsi="Calibri"/>
                <w:sz w:val="22"/>
              </w:rPr>
              <w:t>$1,080M</w:t>
            </w:r>
          </w:p>
        </w:tc>
        <w:tc>
          <w:tcPr>
            <w:tcW w:type="dxa" w:w="1728"/>
          </w:tcPr>
          <w:p>
            <w:r>
              <w:rPr>
                <w:rFonts w:ascii="Calibri" w:hAnsi="Calibri"/>
                <w:sz w:val="22"/>
              </w:rPr>
              <w:t>0.0%</w:t>
            </w:r>
          </w:p>
        </w:tc>
        <w:tc>
          <w:tcPr>
            <w:tcW w:type="dxa" w:w="1728"/>
          </w:tcPr>
          <w:p>
            <w:r>
              <w:rPr>
                <w:rFonts w:ascii="Calibri" w:hAnsi="Calibri"/>
                <w:sz w:val="22"/>
              </w:rPr>
              <w:t>In-Line</w:t>
            </w:r>
          </w:p>
        </w:tc>
      </w:tr>
    </w:tbl>
    <w:p>
      <w:r>
        <w:rPr>
          <w:rFonts w:ascii="Calibri" w:hAnsi="Calibri"/>
          <w:b/>
          <w:color w:val="525866"/>
          <w:sz w:val="22"/>
        </w:rPr>
        <w:t xml:space="preserve">Note: </w:t>
      </w:r>
      <w:r>
        <w:rPr>
          <w:rFonts w:ascii="Calibri" w:hAnsi="Calibri"/>
          <w:color w:val="525866"/>
          <w:sz w:val="22"/>
        </w:rPr>
        <w:t>The large apparent misses in Q1–Q4 2024 and Q1 2025 reflect the fact that Visible Alpha consensus at those periods was set before the Apps segment divestiture and business model restructuring; the current consensus figures represent the restated/continuing operations view. The last three quarters (Q3 2025–Q1 2026) show a consistent beat pattern of +2% to +5% on revenue, which is the relevant baseline for Q2 2026.</w:t>
      </w:r>
    </w:p>
    <w:p>
      <w:pPr>
        <w:pStyle w:val="Heading3"/>
      </w:pPr>
      <w:r>
        <w:rPr>
          <w:rFonts w:ascii="Calibri" w:hAnsi="Calibri"/>
          <w:b/>
          <w:color w:val="3B4259"/>
          <w:sz w:val="24"/>
        </w:rPr>
        <w:t>Adjusted EBITDA</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$1,557M</w:t>
            </w:r>
          </w:p>
        </w:tc>
        <w:tc>
          <w:tcPr>
            <w:tcW w:type="dxa" w:w="1728"/>
          </w:tcPr>
          <w:p>
            <w:r>
              <w:rPr>
                <w:rFonts w:ascii="Calibri" w:hAnsi="Calibri"/>
                <w:sz w:val="22"/>
              </w:rPr>
              <w:t>$1,489M</w:t>
            </w:r>
          </w:p>
        </w:tc>
        <w:tc>
          <w:tcPr>
            <w:tcW w:type="dxa" w:w="1728"/>
          </w:tcPr>
          <w:p>
            <w:r>
              <w:rPr>
                <w:rFonts w:ascii="Calibri" w:hAnsi="Calibri"/>
                <w:b/>
                <w:color w:val="30A46C"/>
                <w:sz w:val="22"/>
              </w:rPr>
              <w:t>+4.6%</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$1,399M</w:t>
            </w:r>
          </w:p>
        </w:tc>
        <w:tc>
          <w:tcPr>
            <w:tcW w:type="dxa" w:w="1728"/>
          </w:tcPr>
          <w:p>
            <w:r>
              <w:rPr>
                <w:rFonts w:ascii="Calibri" w:hAnsi="Calibri"/>
                <w:sz w:val="22"/>
              </w:rPr>
              <w:t>$1,338M</w:t>
            </w:r>
          </w:p>
        </w:tc>
        <w:tc>
          <w:tcPr>
            <w:tcW w:type="dxa" w:w="1728"/>
          </w:tcPr>
          <w:p>
            <w:r>
              <w:rPr>
                <w:rFonts w:ascii="Calibri" w:hAnsi="Calibri"/>
                <w:b/>
                <w:color w:val="30A46C"/>
                <w:sz w:val="22"/>
              </w:rPr>
              <w:t>+4.6%</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$1,158M</w:t>
            </w:r>
          </w:p>
        </w:tc>
        <w:tc>
          <w:tcPr>
            <w:tcW w:type="dxa" w:w="1728"/>
          </w:tcPr>
          <w:p>
            <w:r>
              <w:rPr>
                <w:rFonts w:ascii="Calibri" w:hAnsi="Calibri"/>
                <w:sz w:val="22"/>
              </w:rPr>
              <w:t>$1,093M</w:t>
            </w:r>
          </w:p>
        </w:tc>
        <w:tc>
          <w:tcPr>
            <w:tcW w:type="dxa" w:w="1728"/>
          </w:tcPr>
          <w:p>
            <w:r>
              <w:rPr>
                <w:rFonts w:ascii="Calibri" w:hAnsi="Calibri"/>
                <w:b/>
                <w:color w:val="30A46C"/>
                <w:sz w:val="22"/>
              </w:rPr>
              <w:t>+5.9%</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$1,018M</w:t>
            </w:r>
          </w:p>
        </w:tc>
        <w:tc>
          <w:tcPr>
            <w:tcW w:type="dxa" w:w="1728"/>
          </w:tcPr>
          <w:p>
            <w:r>
              <w:rPr>
                <w:rFonts w:ascii="Calibri" w:hAnsi="Calibri"/>
                <w:sz w:val="22"/>
              </w:rPr>
              <w:t>$1,002M</w:t>
            </w:r>
          </w:p>
        </w:tc>
        <w:tc>
          <w:tcPr>
            <w:tcW w:type="dxa" w:w="1728"/>
          </w:tcPr>
          <w:p>
            <w:r>
              <w:rPr>
                <w:rFonts w:ascii="Calibri" w:hAnsi="Calibri"/>
                <w:b/>
                <w:color w:val="30A46C"/>
                <w:sz w:val="22"/>
              </w:rPr>
              <w:t>+1.6%</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$938M</w:t>
            </w:r>
          </w:p>
        </w:tc>
        <w:tc>
          <w:tcPr>
            <w:tcW w:type="dxa" w:w="1728"/>
          </w:tcPr>
          <w:p>
            <w:r>
              <w:rPr>
                <w:rFonts w:ascii="Calibri" w:hAnsi="Calibri"/>
                <w:sz w:val="22"/>
              </w:rPr>
              <w:t>$875M</w:t>
            </w:r>
          </w:p>
        </w:tc>
        <w:tc>
          <w:tcPr>
            <w:tcW w:type="dxa" w:w="1728"/>
          </w:tcPr>
          <w:p>
            <w:r>
              <w:rPr>
                <w:rFonts w:ascii="Calibri" w:hAnsi="Calibri"/>
                <w:b/>
                <w:color w:val="30A46C"/>
                <w:sz w:val="22"/>
              </w:rPr>
              <w:t>+7.1%</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$848M</w:t>
            </w:r>
          </w:p>
        </w:tc>
        <w:tc>
          <w:tcPr>
            <w:tcW w:type="dxa" w:w="1728"/>
          </w:tcPr>
          <w:p>
            <w:r>
              <w:rPr>
                <w:rFonts w:ascii="Calibri" w:hAnsi="Calibri"/>
                <w:sz w:val="22"/>
              </w:rPr>
              <w:t>$764M</w:t>
            </w:r>
          </w:p>
        </w:tc>
        <w:tc>
          <w:tcPr>
            <w:tcW w:type="dxa" w:w="1728"/>
          </w:tcPr>
          <w:p>
            <w:r>
              <w:rPr>
                <w:rFonts w:ascii="Calibri" w:hAnsi="Calibri"/>
                <w:b/>
                <w:color w:val="30A46C"/>
                <w:sz w:val="22"/>
              </w:rPr>
              <w:t>+10.9%</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$722M</w:t>
            </w:r>
          </w:p>
        </w:tc>
        <w:tc>
          <w:tcPr>
            <w:tcW w:type="dxa" w:w="1728"/>
          </w:tcPr>
          <w:p>
            <w:r>
              <w:rPr>
                <w:rFonts w:ascii="Calibri" w:hAnsi="Calibri"/>
                <w:sz w:val="22"/>
              </w:rPr>
              <w:t>$642M</w:t>
            </w:r>
          </w:p>
        </w:tc>
        <w:tc>
          <w:tcPr>
            <w:tcW w:type="dxa" w:w="1728"/>
          </w:tcPr>
          <w:p>
            <w:r>
              <w:rPr>
                <w:rFonts w:ascii="Calibri" w:hAnsi="Calibri"/>
                <w:b/>
                <w:color w:val="30A46C"/>
                <w:sz w:val="22"/>
              </w:rPr>
              <w:t>+12.4%</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$511M</w:t>
            </w:r>
          </w:p>
        </w:tc>
        <w:tc>
          <w:tcPr>
            <w:tcW w:type="dxa" w:w="1728"/>
          </w:tcPr>
          <w:p>
            <w:r>
              <w:rPr>
                <w:rFonts w:ascii="Calibri" w:hAnsi="Calibri"/>
                <w:sz w:val="22"/>
              </w:rPr>
              <w:t>$569M</w:t>
            </w:r>
          </w:p>
        </w:tc>
        <w:tc>
          <w:tcPr>
            <w:tcW w:type="dxa" w:w="1728"/>
          </w:tcPr>
          <w:p>
            <w:r>
              <w:rPr>
                <w:rFonts w:ascii="Calibri" w:hAnsi="Calibri"/>
                <w:b/>
                <w:color w:val="E5484D"/>
                <w:sz w:val="22"/>
              </w:rPr>
              <w:t>-10.2%</w:t>
            </w:r>
          </w:p>
        </w:tc>
        <w:tc>
          <w:tcPr>
            <w:tcW w:type="dxa" w:w="1728"/>
          </w:tcPr>
          <w:p>
            <w:r>
              <w:rPr>
                <w:rFonts w:ascii="Calibri" w:hAnsi="Calibri"/>
                <w:b/>
                <w:color w:val="E5484D"/>
                <w:sz w:val="22"/>
              </w:rPr>
              <w:t>Miss</w:t>
            </w:r>
          </w:p>
        </w:tc>
      </w:tr>
    </w:tbl>
    <w:p>
      <w:r>
        <w:rPr>
          <w:rFonts w:ascii="Calibri" w:hAnsi="Calibri"/>
          <w:b/>
          <w:color w:val="525866"/>
          <w:sz w:val="22"/>
        </w:rPr>
        <w:t xml:space="preserve">Pattern: </w:t>
      </w:r>
      <w:r>
        <w:rPr>
          <w:rFonts w:ascii="Calibri" w:hAnsi="Calibri"/>
          <w:color w:val="525866"/>
          <w:sz w:val="22"/>
        </w:rPr>
        <w:t>APP has beaten Adjusted EBITDA consensus in 7 of the last 8 quarters, with the beat magnitude narrowing from double-digits (10–12%) in 2024 to a more modest 4–6% range in recent quarters as the Street has caught up to the model’s profitability. The consistent beat cadence on EBITDA is the most reliable pattern in the data. Source: Visible Alpha consensus and actuals data.</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Guidance has not been formally revised since the Q1 2026 earnings call — no 8-K, pre-announcement, or conference update has changed the numbers. Management’s tone, however, has been consistently bullish, with the June platform opening representing the most significant qualitative development since the last print.</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6,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Revenue</w:t>
            </w:r>
          </w:p>
        </w:tc>
        <w:tc>
          <w:tcPr>
            <w:tcW w:type="dxa" w:w="1728"/>
          </w:tcPr>
          <w:p>
            <w:r>
              <w:rPr>
                <w:rFonts w:ascii="Calibri" w:hAnsi="Calibri"/>
                <w:sz w:val="22"/>
              </w:rPr>
              <w:t>$1,915M – $1,945M (52%–55% YoY; 4%–6% QoQ)</w:t>
            </w:r>
          </w:p>
        </w:tc>
        <w:tc>
          <w:tcPr>
            <w:tcW w:type="dxa" w:w="1728"/>
          </w:tcPr>
          <w:p>
            <w:r>
              <w:rPr>
                <w:rFonts w:ascii="Calibri" w:hAnsi="Calibri"/>
                <w:sz w:val="22"/>
              </w:rPr>
              <w:t>—</w:t>
            </w:r>
          </w:p>
        </w:tc>
        <w:tc>
          <w:tcPr>
            <w:tcW w:type="dxa" w:w="1728"/>
          </w:tcPr>
          <w:p>
            <w:r>
              <w:rPr>
                <w:rFonts w:ascii="Calibri" w:hAnsi="Calibri"/>
                <w:sz w:val="22"/>
              </w:rPr>
              <w:t>$1,947M</w:t>
            </w:r>
          </w:p>
        </w:tc>
        <w:tc>
          <w:tcPr>
            <w:tcW w:type="dxa" w:w="1728"/>
          </w:tcPr>
          <w:p>
            <w:r>
              <w:rPr>
                <w:rFonts w:ascii="Calibri" w:hAnsi="Calibri"/>
                <w:sz w:val="22"/>
              </w:rPr>
              <w:t>No post-earnings revision. Consensus sits ~$17M above guidance midpoint, implying the Street expects a modest beat consistent with recent history.</w:t>
            </w:r>
          </w:p>
        </w:tc>
      </w:tr>
      <w:tr>
        <w:tc>
          <w:tcPr>
            <w:tcW w:type="dxa" w:w="1728"/>
          </w:tcPr>
          <w:p>
            <w:r>
              <w:rPr>
                <w:rFonts w:ascii="Calibri" w:hAnsi="Calibri"/>
                <w:sz w:val="22"/>
              </w:rPr>
              <w:t>Q2 2026 Adj. EBITDA</w:t>
            </w:r>
          </w:p>
        </w:tc>
        <w:tc>
          <w:tcPr>
            <w:tcW w:type="dxa" w:w="1728"/>
          </w:tcPr>
          <w:p>
            <w:r>
              <w:rPr>
                <w:rFonts w:ascii="Calibri" w:hAnsi="Calibri"/>
                <w:sz w:val="22"/>
              </w:rPr>
              <w:t>$1,615M – $1,645M</w:t>
            </w:r>
          </w:p>
        </w:tc>
        <w:tc>
          <w:tcPr>
            <w:tcW w:type="dxa" w:w="1728"/>
          </w:tcPr>
          <w:p>
            <w:r>
              <w:rPr>
                <w:rFonts w:ascii="Calibri" w:hAnsi="Calibri"/>
                <w:sz w:val="22"/>
              </w:rPr>
              <w:t>—</w:t>
            </w:r>
          </w:p>
        </w:tc>
        <w:tc>
          <w:tcPr>
            <w:tcW w:type="dxa" w:w="1728"/>
          </w:tcPr>
          <w:p>
            <w:r>
              <w:rPr>
                <w:rFonts w:ascii="Calibri" w:hAnsi="Calibri"/>
                <w:sz w:val="22"/>
              </w:rPr>
              <w:t>$1,645M</w:t>
            </w:r>
          </w:p>
        </w:tc>
        <w:tc>
          <w:tcPr>
            <w:tcW w:type="dxa" w:w="1728"/>
          </w:tcPr>
          <w:p>
            <w:r>
              <w:rPr>
                <w:rFonts w:ascii="Calibri" w:hAnsi="Calibri"/>
                <w:sz w:val="22"/>
              </w:rPr>
              <w:t>No post-earnings revision. Consensus at the top end of guidance range.</w:t>
            </w:r>
          </w:p>
        </w:tc>
      </w:tr>
      <w:tr>
        <w:tc>
          <w:tcPr>
            <w:tcW w:type="dxa" w:w="1728"/>
          </w:tcPr>
          <w:p>
            <w:r>
              <w:rPr>
                <w:rFonts w:ascii="Calibri" w:hAnsi="Calibri"/>
                <w:sz w:val="22"/>
              </w:rPr>
              <w:t>Q2 2026 Adj. EBITDA Margin</w:t>
            </w:r>
          </w:p>
        </w:tc>
        <w:tc>
          <w:tcPr>
            <w:tcW w:type="dxa" w:w="1728"/>
          </w:tcPr>
          <w:p>
            <w:r>
              <w:rPr>
                <w:rFonts w:ascii="Calibri" w:hAnsi="Calibri"/>
                <w:sz w:val="22"/>
              </w:rPr>
              <w:t>84%–85%</w:t>
            </w:r>
          </w:p>
        </w:tc>
        <w:tc>
          <w:tcPr>
            <w:tcW w:type="dxa" w:w="1728"/>
          </w:tcPr>
          <w:p>
            <w:r>
              <w:rPr>
                <w:rFonts w:ascii="Calibri" w:hAnsi="Calibri"/>
                <w:sz w:val="22"/>
              </w:rPr>
              <w:t>—</w:t>
            </w:r>
          </w:p>
        </w:tc>
        <w:tc>
          <w:tcPr>
            <w:tcW w:type="dxa" w:w="1728"/>
          </w:tcPr>
          <w:p>
            <w:r>
              <w:rPr>
                <w:rFonts w:ascii="Calibri" w:hAnsi="Calibri"/>
                <w:sz w:val="22"/>
              </w:rPr>
              <w:t>84.5%</w:t>
            </w:r>
          </w:p>
        </w:tc>
        <w:tc>
          <w:tcPr>
            <w:tcW w:type="dxa" w:w="1728"/>
          </w:tcPr>
          <w:p>
            <w:r>
              <w:rPr>
                <w:rFonts w:ascii="Calibri" w:hAnsi="Calibri"/>
                <w:sz w:val="22"/>
              </w:rPr>
              <w:t>No revision. Consensus at midpoint of guided range.</w:t>
            </w:r>
          </w:p>
        </w:tc>
      </w:tr>
      <w:tr>
        <w:tc>
          <w:tcPr>
            <w:tcW w:type="dxa" w:w="1728"/>
          </w:tcPr>
          <w:p>
            <w:r>
              <w:rPr>
                <w:rFonts w:ascii="Calibri" w:hAnsi="Calibri"/>
                <w:sz w:val="22"/>
              </w:rPr>
              <w:t>Platform Opening (Qualitative)</w:t>
            </w:r>
          </w:p>
        </w:tc>
        <w:tc>
          <w:tcPr>
            <w:tcW w:type="dxa" w:w="1728"/>
          </w:tcPr>
          <w:p>
            <w:r>
              <w:rPr>
                <w:rFonts w:ascii="Calibri" w:hAnsi="Calibri"/>
                <w:sz w:val="22"/>
              </w:rPr>
              <w:t>June 2026 general availability for all advertisers globally; self-serve access, AI creative tools, agent-compatible infrastructure</w:t>
            </w:r>
          </w:p>
        </w:tc>
        <w:tc>
          <w:tcPr>
            <w:tcW w:type="dxa" w:w="1728"/>
          </w:tcPr>
          <w:p>
            <w:r>
              <w:rPr>
                <w:rFonts w:ascii="Calibri" w:hAnsi="Calibri"/>
                <w:sz w:val="22"/>
              </w:rPr>
              <w:t>Platform opened as planned in June 2026</w:t>
            </w:r>
          </w:p>
        </w:tc>
        <w:tc>
          <w:tcPr>
            <w:tcW w:type="dxa" w:w="1728"/>
          </w:tcPr>
          <w:p>
            <w:r>
              <w:rPr>
                <w:rFonts w:ascii="Calibri" w:hAnsi="Calibri"/>
                <w:sz w:val="22"/>
              </w:rPr>
              <w:t>N/A</w:t>
            </w:r>
          </w:p>
        </w:tc>
        <w:tc>
          <w:tcPr>
            <w:tcW w:type="dxa" w:w="1728"/>
          </w:tcPr>
          <w:p>
            <w:r>
              <w:rPr>
                <w:rFonts w:ascii="Calibri" w:hAnsi="Calibri"/>
                <w:sz w:val="22"/>
              </w:rPr>
              <w:t>Major milestone achieved on schedule. Q2 call will be the first opportunity to quantify early traction.</w:t>
            </w:r>
          </w:p>
        </w:tc>
      </w:tr>
      <w:tr>
        <w:tc>
          <w:tcPr>
            <w:tcW w:type="dxa" w:w="1728"/>
          </w:tcPr>
          <w:p>
            <w:r>
              <w:rPr>
                <w:rFonts w:ascii="Calibri" w:hAnsi="Calibri"/>
                <w:sz w:val="22"/>
              </w:rPr>
              <w:t>Consumer Vertical Tone</w:t>
            </w:r>
          </w:p>
        </w:tc>
        <w:tc>
          <w:tcPr>
            <w:tcW w:type="dxa" w:w="1728"/>
          </w:tcPr>
          <w:p>
            <w:r>
              <w:rPr>
                <w:rFonts w:ascii="Calibri" w:hAnsi="Calibri"/>
                <w:sz w:val="22"/>
              </w:rPr>
              <w:t>April 2026 was a record month in advertiser spend, surpassing any Q4 2025 peak month; consumer vertical growing faster than gaming</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Highly bullish tone entering Q2. No formal revision but qualitative momentum was strong.</w:t>
            </w:r>
          </w:p>
        </w:tc>
      </w:tr>
    </w:tbl>
    <w:p>
      <w:r>
        <w:rPr>
          <w:rFonts w:ascii="Calibri" w:hAnsi="Calibri"/>
          <w:color w:val="525866"/>
          <w:sz w:val="22"/>
        </w:rPr>
        <w:t>Source: AppLovin Q1 2026 Earnings Call Transcript and Earnings Release (May 6, 2026). No post-earnings 8-K, investor day, or conference guidance update has been identified.</w:t>
      </w:r>
    </w:p>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Estimates for Q2 2026 and FY 2026 have been essentially flat since the Q1 print — the Street has not yet moved numbers materially in either direction, consistent with a “wait and see” posture on the platform opening. The lack of upward revision despite the bullish Q1 tone suggests meaningful upside optionality if Q2 commentary on self-serve traction is strong.</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(as of ~May 11, 2026)</w:t>
            </w:r>
          </w:p>
        </w:tc>
        <w:tc>
          <w:tcPr>
            <w:tcW w:type="dxa" w:w="1080"/>
            <w:shd w:val="clear" w:color="auto" w:fill="3B4259"/>
          </w:tcPr>
          <w:p>
            <w:r>
              <w:rPr>
                <w:rFonts w:ascii="Calibri" w:hAnsi="Calibri"/>
                <w:b/>
                <w:color w:val="FFFFFF"/>
                <w:sz w:val="22"/>
              </w:rPr>
              <w:t>Current Consensus (Aug 4,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Revenue — Q2 2026</w:t>
            </w:r>
          </w:p>
        </w:tc>
        <w:tc>
          <w:tcPr>
            <w:tcW w:type="dxa" w:w="1080"/>
          </w:tcPr>
          <w:p>
            <w:r>
              <w:rPr>
                <w:rFonts w:ascii="Calibri" w:hAnsi="Calibri"/>
                <w:sz w:val="22"/>
              </w:rPr>
              <w:t>$1,945M</w:t>
            </w:r>
          </w:p>
        </w:tc>
        <w:tc>
          <w:tcPr>
            <w:tcW w:type="dxa" w:w="1080"/>
          </w:tcPr>
          <w:p>
            <w:r>
              <w:rPr>
                <w:rFonts w:ascii="Calibri" w:hAnsi="Calibri"/>
                <w:sz w:val="22"/>
              </w:rPr>
              <w:t>$1,947M</w:t>
            </w:r>
          </w:p>
        </w:tc>
        <w:tc>
          <w:tcPr>
            <w:tcW w:type="dxa" w:w="1080"/>
          </w:tcPr>
          <w:p>
            <w:r>
              <w:rPr>
                <w:rFonts w:ascii="Calibri" w:hAnsi="Calibri"/>
                <w:sz w:val="22"/>
              </w:rPr>
              <w:t>+0.1%</w:t>
            </w:r>
          </w:p>
        </w:tc>
        <w:tc>
          <w:tcPr>
            <w:tcW w:type="dxa" w:w="1080"/>
          </w:tcPr>
          <w:p>
            <w:r>
              <w:rPr>
                <w:rFonts w:ascii="Calibri" w:hAnsi="Calibri"/>
                <w:sz w:val="22"/>
              </w:rPr>
              <w:t>$1,915–$1,945M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+0.9% vs. mid</w:t>
            </w:r>
          </w:p>
        </w:tc>
      </w:tr>
      <w:tr>
        <w:tc>
          <w:tcPr>
            <w:tcW w:type="dxa" w:w="1080"/>
          </w:tcPr>
          <w:p>
            <w:r>
              <w:rPr>
                <w:rFonts w:ascii="Calibri" w:hAnsi="Calibri"/>
                <w:sz w:val="22"/>
              </w:rPr>
              <w:t>Adj. EBITDA — Q2 2026</w:t>
            </w:r>
          </w:p>
        </w:tc>
        <w:tc>
          <w:tcPr>
            <w:tcW w:type="dxa" w:w="1080"/>
          </w:tcPr>
          <w:p>
            <w:r>
              <w:rPr>
                <w:rFonts w:ascii="Calibri" w:hAnsi="Calibri"/>
                <w:sz w:val="22"/>
              </w:rPr>
              <w:t>$1,644M</w:t>
            </w:r>
          </w:p>
        </w:tc>
        <w:tc>
          <w:tcPr>
            <w:tcW w:type="dxa" w:w="1080"/>
          </w:tcPr>
          <w:p>
            <w:r>
              <w:rPr>
                <w:rFonts w:ascii="Calibri" w:hAnsi="Calibri"/>
                <w:sz w:val="22"/>
              </w:rPr>
              <w:t>$1,645M</w:t>
            </w:r>
          </w:p>
        </w:tc>
        <w:tc>
          <w:tcPr>
            <w:tcW w:type="dxa" w:w="1080"/>
          </w:tcPr>
          <w:p>
            <w:r>
              <w:rPr>
                <w:rFonts w:ascii="Calibri" w:hAnsi="Calibri"/>
                <w:sz w:val="22"/>
              </w:rPr>
              <w:t>+0.1%</w:t>
            </w:r>
          </w:p>
        </w:tc>
        <w:tc>
          <w:tcPr>
            <w:tcW w:type="dxa" w:w="1080"/>
          </w:tcPr>
          <w:p>
            <w:r>
              <w:rPr>
                <w:rFonts w:ascii="Calibri" w:hAnsi="Calibri"/>
                <w:sz w:val="22"/>
              </w:rPr>
              <w:t>$1,615–$1,645M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+0.9% vs. mid</w:t>
            </w:r>
          </w:p>
        </w:tc>
      </w:tr>
      <w:tr>
        <w:tc>
          <w:tcPr>
            <w:tcW w:type="dxa" w:w="1080"/>
          </w:tcPr>
          <w:p>
            <w:r>
              <w:rPr>
                <w:rFonts w:ascii="Calibri" w:hAnsi="Calibri"/>
                <w:sz w:val="22"/>
              </w:rPr>
              <w:t>Operating EPS — Q2 2026</w:t>
            </w:r>
          </w:p>
        </w:tc>
        <w:tc>
          <w:tcPr>
            <w:tcW w:type="dxa" w:w="1080"/>
          </w:tcPr>
          <w:p>
            <w:r>
              <w:rPr>
                <w:rFonts w:ascii="Calibri" w:hAnsi="Calibri"/>
                <w:sz w:val="22"/>
              </w:rPr>
              <w:t>$4.09</w:t>
            </w:r>
          </w:p>
        </w:tc>
        <w:tc>
          <w:tcPr>
            <w:tcW w:type="dxa" w:w="1080"/>
          </w:tcPr>
          <w:p>
            <w:r>
              <w:rPr>
                <w:rFonts w:ascii="Calibri" w:hAnsi="Calibri"/>
                <w:sz w:val="22"/>
              </w:rPr>
              <w:t>$4.09</w:t>
            </w:r>
          </w:p>
        </w:tc>
        <w:tc>
          <w:tcPr>
            <w:tcW w:type="dxa" w:w="1080"/>
          </w:tcPr>
          <w:p>
            <w:r>
              <w:rPr>
                <w:rFonts w:ascii="Calibri" w:hAnsi="Calibri"/>
                <w:sz w:val="22"/>
              </w:rPr>
              <w:t>Flat</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Revenue — FY 2026</w:t>
            </w:r>
          </w:p>
        </w:tc>
        <w:tc>
          <w:tcPr>
            <w:tcW w:type="dxa" w:w="1080"/>
          </w:tcPr>
          <w:p>
            <w:r>
              <w:rPr>
                <w:rFonts w:ascii="Calibri" w:hAnsi="Calibri"/>
                <w:sz w:val="22"/>
              </w:rPr>
              <w:t>$8,267M</w:t>
            </w:r>
          </w:p>
        </w:tc>
        <w:tc>
          <w:tcPr>
            <w:tcW w:type="dxa" w:w="1080"/>
          </w:tcPr>
          <w:p>
            <w:r>
              <w:rPr>
                <w:rFonts w:ascii="Calibri" w:hAnsi="Calibri"/>
                <w:sz w:val="22"/>
              </w:rPr>
              <w:t>$8,240M</w:t>
            </w:r>
          </w:p>
        </w:tc>
        <w:tc>
          <w:tcPr>
            <w:tcW w:type="dxa" w:w="1080"/>
          </w:tcPr>
          <w:p>
            <w:r>
              <w:rPr>
                <w:rFonts w:ascii="Calibri" w:hAnsi="Calibri"/>
                <w:sz w:val="22"/>
              </w:rPr>
              <w:t>-0.3%</w:t>
            </w:r>
          </w:p>
        </w:tc>
        <w:tc>
          <w:tcPr>
            <w:tcW w:type="dxa" w:w="1080"/>
          </w:tcPr>
          <w:p>
            <w:r>
              <w:rPr>
                <w:rFonts w:ascii="Calibri" w:hAnsi="Calibri"/>
                <w:sz w:val="22"/>
              </w:rPr>
              <w:t>N/A (no FY guidance)</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Adj. EBITDA — FY 2026</w:t>
            </w:r>
          </w:p>
        </w:tc>
        <w:tc>
          <w:tcPr>
            <w:tcW w:type="dxa" w:w="1080"/>
          </w:tcPr>
          <w:p>
            <w:r>
              <w:rPr>
                <w:rFonts w:ascii="Calibri" w:hAnsi="Calibri"/>
                <w:sz w:val="22"/>
              </w:rPr>
              <w:t>$6,989M</w:t>
            </w:r>
          </w:p>
        </w:tc>
        <w:tc>
          <w:tcPr>
            <w:tcW w:type="dxa" w:w="1080"/>
          </w:tcPr>
          <w:p>
            <w:r>
              <w:rPr>
                <w:rFonts w:ascii="Calibri" w:hAnsi="Calibri"/>
                <w:sz w:val="22"/>
              </w:rPr>
              <w:t>$6,965M</w:t>
            </w:r>
          </w:p>
        </w:tc>
        <w:tc>
          <w:tcPr>
            <w:tcW w:type="dxa" w:w="1080"/>
          </w:tcPr>
          <w:p>
            <w:r>
              <w:rPr>
                <w:rFonts w:ascii="Calibri" w:hAnsi="Calibri"/>
                <w:sz w:val="22"/>
              </w:rPr>
              <w:t>-0.3%</w:t>
            </w:r>
          </w:p>
        </w:tc>
        <w:tc>
          <w:tcPr>
            <w:tcW w:type="dxa" w:w="1080"/>
          </w:tcPr>
          <w:p>
            <w:r>
              <w:rPr>
                <w:rFonts w:ascii="Calibri" w:hAnsi="Calibri"/>
                <w:sz w:val="22"/>
              </w:rPr>
              <w:t>N/A (no FY guidance)</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Operating EPS — FY 2026</w:t>
            </w:r>
          </w:p>
        </w:tc>
        <w:tc>
          <w:tcPr>
            <w:tcW w:type="dxa" w:w="1080"/>
          </w:tcPr>
          <w:p>
            <w:r>
              <w:rPr>
                <w:rFonts w:ascii="Calibri" w:hAnsi="Calibri"/>
                <w:sz w:val="22"/>
              </w:rPr>
              <w:t>$17.43</w:t>
            </w:r>
          </w:p>
        </w:tc>
        <w:tc>
          <w:tcPr>
            <w:tcW w:type="dxa" w:w="1080"/>
          </w:tcPr>
          <w:p>
            <w:r>
              <w:rPr>
                <w:rFonts w:ascii="Calibri" w:hAnsi="Calibri"/>
                <w:sz w:val="22"/>
              </w:rPr>
              <w:t>$17.35</w:t>
            </w:r>
          </w:p>
        </w:tc>
        <w:tc>
          <w:tcPr>
            <w:tcW w:type="dxa" w:w="1080"/>
          </w:tcPr>
          <w:p>
            <w:r>
              <w:rPr>
                <w:rFonts w:ascii="Calibri" w:hAnsi="Calibri"/>
                <w:sz w:val="22"/>
              </w:rPr>
              <w:t>-0.4%</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color w:val="525866"/>
          <w:sz w:val="22"/>
        </w:rPr>
        <w:t>Estimates have been remarkably stable since the Q1 print — essentially zero revision in either direction for Q2 or FY 2026. This is consistent with the Street waiting for Q2 results and, more importantly, management’s first quantitative commentary on the June platform opening before moving numbers. The flat revision trajectory means there is no estimate-driven headwind into the print, but also no tailwind — the stock will trade on the Q2 beat/miss and the platform opening narrative. Source: Visible Alpha consensus and actuals data (as-of date: May 11, 2026 for baseline; current as of August 4, 2026).</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APP has underperformed both the S&amp;P 500 and the XLC communications ETF since the Q1 print, declining ~10% vs. the S&amp;P +5%, driven by multiple compression rather than estimate cuts — the stock peaked at ~131 (indexed) in early June around the platform opening, then sold off as investors awaited tangible evidence of self-serve traction.</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APP vs. XLC (Communications ETF) vs. S&amp;P 500 (SPY) — Indexed to 100 at Q1 2026 Earnings Date (May 6, 2026). Source: Stock Price Data.</w:t>
      </w:r>
    </w:p>
    <w:p>
      <w:r>
        <w:rPr>
          <w:rFonts w:ascii="Calibri" w:hAnsi="Calibri"/>
          <w:color w:val="525866"/>
          <w:sz w:val="22"/>
        </w:rPr>
        <w:t>Key Events Since Q1 2026 Earnings (May 6, 2026):</w:t>
      </w:r>
    </w:p>
    <w:p>
      <w:pPr>
        <w:pStyle w:val="ListBullet"/>
        <w:ind w:left="360" w:hanging="360"/>
      </w:pPr>
      <w:r>
        <w:rPr>
          <w:rFonts w:ascii="Calibri" w:hAnsi="Calibri"/>
          <w:b/>
          <w:color w:val="525866"/>
          <w:sz w:val="22"/>
        </w:rPr>
        <w:t xml:space="preserve">May 6, 2026 (Day 0): </w:t>
      </w:r>
      <w:r>
        <w:rPr>
          <w:rFonts w:ascii="Calibri" w:hAnsi="Calibri"/>
          <w:color w:val="525866"/>
          <w:sz w:val="22"/>
        </w:rPr>
        <w:t>Q1 2026 earnings reported. Beat on all metrics; Q2 guidance above consensus. Stock declined after hours despite the beat, reflecting investor uncertainty about the post-platform-opening trajectory. APP opened at $468.83.</w:t>
      </w:r>
    </w:p>
    <w:p>
      <w:pPr>
        <w:pStyle w:val="ListBullet"/>
        <w:ind w:left="360" w:hanging="360"/>
      </w:pPr>
      <w:r>
        <w:rPr>
          <w:rFonts w:ascii="Calibri" w:hAnsi="Calibri"/>
          <w:b/>
          <w:color w:val="525866"/>
          <w:sz w:val="22"/>
        </w:rPr>
        <w:t xml:space="preserve">Late May 2026 (Days 15–25): </w:t>
      </w:r>
      <w:r>
        <w:rPr>
          <w:rFonts w:ascii="Calibri" w:hAnsi="Calibri"/>
          <w:color w:val="525866"/>
          <w:sz w:val="22"/>
        </w:rPr>
        <w:t>APP rallied sharply from ~$480 to a peak of ~$614 (+31% from earnings date), likely driven by growing excitement around the June platform opening and continued positive momentum in the consumer vertical.</w:t>
      </w:r>
    </w:p>
    <w:p>
      <w:pPr>
        <w:pStyle w:val="ListBullet"/>
        <w:ind w:left="360" w:hanging="360"/>
      </w:pPr>
      <w:r>
        <w:rPr>
          <w:rFonts w:ascii="Calibri" w:hAnsi="Calibri"/>
          <w:b/>
          <w:color w:val="525866"/>
          <w:sz w:val="22"/>
        </w:rPr>
        <w:t xml:space="preserve">June 2026 (Days 25–45): </w:t>
      </w:r>
      <w:r>
        <w:rPr>
          <w:rFonts w:ascii="Calibri" w:hAnsi="Calibri"/>
          <w:color w:val="525866"/>
          <w:sz w:val="22"/>
        </w:rPr>
        <w:t>Platform opened to the public in June as planned — a 14-year milestone. Stock initially held near highs (~$614) but then sold off sharply through June, declining from ~$614 to ~$445 (-28% from peak) as investors shifted from anticipation to a “show me” posture on actual advertiser onboarding data.</w:t>
      </w:r>
    </w:p>
    <w:p>
      <w:pPr>
        <w:pStyle w:val="ListBullet"/>
        <w:ind w:left="360" w:hanging="360"/>
      </w:pPr>
      <w:r>
        <w:rPr>
          <w:rFonts w:ascii="Calibri" w:hAnsi="Calibri"/>
          <w:b/>
          <w:color w:val="525866"/>
          <w:sz w:val="22"/>
        </w:rPr>
        <w:t xml:space="preserve">July 2026 (Days 45–65): </w:t>
      </w:r>
      <w:r>
        <w:rPr>
          <w:rFonts w:ascii="Calibri" w:hAnsi="Calibri"/>
          <w:color w:val="525866"/>
          <w:sz w:val="22"/>
        </w:rPr>
        <w:t>Stock continued to drift lower, reaching a trough near ~$392 in late July before recovering modestly to ~$420 by early August. The broader XLC ETF also declined ~5% over the period, suggesting some sector-level pressure, but APP’s underperformance was idiosyncratic.</w:t>
      </w:r>
    </w:p>
    <w:p>
      <w:pPr>
        <w:pStyle w:val="ListBullet"/>
        <w:ind w:left="360" w:hanging="360"/>
      </w:pPr>
      <w:r>
        <w:rPr>
          <w:rFonts w:ascii="Calibri" w:hAnsi="Calibri"/>
          <w:b/>
          <w:color w:val="525866"/>
          <w:sz w:val="22"/>
        </w:rPr>
        <w:t xml:space="preserve">August 4, 2026 (Current): </w:t>
      </w:r>
      <w:r>
        <w:rPr>
          <w:rFonts w:ascii="Calibri" w:hAnsi="Calibri"/>
          <w:color w:val="525866"/>
          <w:sz w:val="22"/>
        </w:rPr>
        <w:t>APP at ~$419.70, indexed at 89.5 vs. 100 at earnings date. S&amp;P 500 (SPY) at 105.1 (indexed). XLC at 95.5 (indexed). APP has underperformed SPY by ~15 percentage points since the Q1 print.</w:t>
      </w:r>
    </w:p>
    <w:p>
      <w:r>
        <w:rPr>
          <w:rFonts w:ascii="Calibri" w:hAnsi="Calibri"/>
          <w:color w:val="525866"/>
          <w:sz w:val="22"/>
        </w:rPr>
        <w:t>The stock’s underperformance is not estimate-driven (revisions are flat) but rather reflects multiple compression as investors wait for the first hard data on platform opening traction. This sets up an asymmetric reaction to Q2 results: a clean beat plus strong platform commentary could drive a sharp re-rating, while a beat-without-platform-color scenario may leave the stock range-bound. Source: Stock Price Data (Yahoo Finance).</w:t>
      </w:r>
    </w:p>
    <w:p>
      <w:r>
        <w:br w:type="page"/>
      </w:r>
    </w:p>
    <w:p>
      <w:pPr>
        <w:pStyle w:val="Heading1"/>
        <w:pBdr>
          <w:bottom w:val="single" w:sz="4" w:space="1" w:color="FB9120"/>
        </w:pBdr>
      </w:pPr>
      <w:r>
        <w:rPr>
          <w:rFonts w:ascii="Calibri" w:hAnsi="Calibri"/>
          <w:b/>
          <w:color w:val="3B4259"/>
          <w:sz w:val="40"/>
        </w:rPr>
        <w:t>6. Material News &amp; Developments</w:t>
      </w:r>
    </w:p>
    <w:p>
      <w:r>
        <w:rPr>
          <w:rFonts w:ascii="Calibri" w:hAnsi="Calibri"/>
          <w:b/>
          <w:color w:val="525866"/>
          <w:sz w:val="22"/>
        </w:rPr>
        <w:t xml:space="preserve">Key Takeaway: </w:t>
      </w:r>
      <w:r>
        <w:rPr>
          <w:rFonts w:ascii="Calibri" w:hAnsi="Calibri"/>
          <w:color w:val="525866"/>
          <w:sz w:val="22"/>
        </w:rPr>
        <w:t>The June 2026 platform opening is the most consequential development since the Q1 print — it marks the end of 14 years as a closed platform and is the primary catalyst the market is waiting to see quantified on the Q2 call.</w:t>
      </w:r>
    </w:p>
    <w:p>
      <w:pPr>
        <w:pStyle w:val="ListBullet"/>
        <w:ind w:left="360" w:hanging="360"/>
      </w:pPr>
      <w:r>
        <w:rPr>
          <w:rFonts w:ascii="Calibri" w:hAnsi="Calibri"/>
          <w:b/>
          <w:color w:val="525866"/>
          <w:sz w:val="22"/>
        </w:rPr>
        <w:t xml:space="preserve">June 2026 — AXON Platform Opens to the Public (Most Important): </w:t>
      </w:r>
      <w:r>
        <w:rPr>
          <w:rFonts w:ascii="Calibri" w:hAnsi="Calibri"/>
          <w:color w:val="525866"/>
          <w:sz w:val="22"/>
        </w:rPr>
        <w:t xml:space="preserve">AppLovin opened its AXON advertising platform to all advertisers globally in June 2026, ending 14 years as a closed system. Advertisers can now self-serve: sign up, generate AI-powered ad creatives, and run campaigns without human interaction. Management had quantified the opportunity at ~$7B in first-year revenue run-rate if 100,000 new advertisers onboard. </w:t>
      </w:r>
      <w:r>
        <w:rPr>
          <w:rFonts w:ascii="Calibri" w:hAnsi="Calibri"/>
          <w:i/>
          <w:color w:val="525866"/>
          <w:sz w:val="22"/>
        </w:rPr>
        <w:t xml:space="preserve">Implication: </w:t>
      </w:r>
      <w:r>
        <w:rPr>
          <w:rFonts w:ascii="Calibri" w:hAnsi="Calibri"/>
          <w:color w:val="525866"/>
          <w:sz w:val="22"/>
        </w:rPr>
        <w:t>Q2 call will be the first opportunity to quantify early traction — number of accounts live, spend per advertiser, and conversion rates will be the key metrics to watch.</w:t>
      </w:r>
    </w:p>
    <w:p>
      <w:pPr>
        <w:pStyle w:val="ListBullet"/>
        <w:ind w:left="360" w:hanging="360"/>
      </w:pPr>
      <w:r>
        <w:rPr>
          <w:rFonts w:ascii="Calibri" w:hAnsi="Calibri"/>
          <w:b/>
          <w:color w:val="525866"/>
          <w:sz w:val="22"/>
        </w:rPr>
        <w:t xml:space="preserve">Q1 2026 Earnings (May 6, 2026) — Beat on All Metrics: </w:t>
      </w:r>
      <w:r>
        <w:rPr>
          <w:rFonts w:ascii="Calibri" w:hAnsi="Calibri"/>
          <w:color w:val="525866"/>
          <w:sz w:val="22"/>
        </w:rPr>
        <w:t xml:space="preserve">Revenue of $1,842M (+59% YoY), Adjusted EBITDA of $1,557M (85% margin, a new company high), and Q2 guidance above consensus. Consumer vertical exited Q1 at record spend, with April surpassing any Q4 2025 month. </w:t>
      </w:r>
      <w:r>
        <w:rPr>
          <w:rFonts w:ascii="Calibri" w:hAnsi="Calibri"/>
          <w:i/>
          <w:color w:val="525866"/>
          <w:sz w:val="22"/>
        </w:rPr>
        <w:t xml:space="preserve">Implication: </w:t>
      </w:r>
      <w:r>
        <w:rPr>
          <w:rFonts w:ascii="Calibri" w:hAnsi="Calibri"/>
          <w:color w:val="525866"/>
          <w:sz w:val="22"/>
        </w:rPr>
        <w:t>Sets a high bar for Q2 but also demonstrates the business’s ability to sustain growth and margin expansion simultaneously.</w:t>
      </w:r>
    </w:p>
    <w:p>
      <w:pPr>
        <w:pStyle w:val="ListBullet"/>
        <w:ind w:left="360" w:hanging="360"/>
      </w:pPr>
      <w:r>
        <w:rPr>
          <w:rFonts w:ascii="Calibri" w:hAnsi="Calibri"/>
          <w:b/>
          <w:color w:val="525866"/>
          <w:sz w:val="22"/>
        </w:rPr>
        <w:t xml:space="preserve">Q1 2026 — Consumer Vertical Acceleration: </w:t>
      </w:r>
      <w:r>
        <w:rPr>
          <w:rFonts w:ascii="Calibri" w:hAnsi="Calibri"/>
          <w:color w:val="525866"/>
          <w:sz w:val="22"/>
        </w:rPr>
        <w:t xml:space="preserve">Management disclosed that the consumer vertical (e-commerce, apps, lead generation) was growing faster than gaming and exited Q1 at record monthly spend. A model release in late April significantly improved scale and ROAS for consumer advertisers. </w:t>
      </w:r>
      <w:r>
        <w:rPr>
          <w:rFonts w:ascii="Calibri" w:hAnsi="Calibri"/>
          <w:i/>
          <w:color w:val="525866"/>
          <w:sz w:val="22"/>
        </w:rPr>
        <w:t xml:space="preserve">Implication: </w:t>
      </w:r>
      <w:r>
        <w:rPr>
          <w:rFonts w:ascii="Calibri" w:hAnsi="Calibri"/>
          <w:color w:val="525866"/>
          <w:sz w:val="22"/>
        </w:rPr>
        <w:t>Consensus e-commerce revenue estimate of $311M for Q2 (vs. $268M in Q1) implies continued sequential growth — any acceleration above this would be a positive surprise.</w:t>
      </w:r>
    </w:p>
    <w:p>
      <w:pPr>
        <w:pStyle w:val="ListBullet"/>
        <w:ind w:left="360" w:hanging="360"/>
      </w:pPr>
      <w:r>
        <w:rPr>
          <w:rFonts w:ascii="Calibri" w:hAnsi="Calibri"/>
          <w:b/>
          <w:color w:val="525866"/>
          <w:sz w:val="22"/>
        </w:rPr>
        <w:t xml:space="preserve">Q1 2026 — New Verticals: Lead Generation Testing: </w:t>
      </w:r>
      <w:r>
        <w:rPr>
          <w:rFonts w:ascii="Calibri" w:hAnsi="Calibri"/>
          <w:color w:val="525866"/>
          <w:sz w:val="22"/>
        </w:rPr>
        <w:t xml:space="preserve">Management disclosed active testing of a cost-per-lead model for auto insurance, health insurance, fintech, and food delivery — categories structured around leads rather than direct purchases. </w:t>
      </w:r>
      <w:r>
        <w:rPr>
          <w:rFonts w:ascii="Calibri" w:hAnsi="Calibri"/>
          <w:i/>
          <w:color w:val="525866"/>
          <w:sz w:val="22"/>
        </w:rPr>
        <w:t xml:space="preserve">Implication: </w:t>
      </w:r>
      <w:r>
        <w:rPr>
          <w:rFonts w:ascii="Calibri" w:hAnsi="Calibri"/>
          <w:color w:val="525866"/>
          <w:sz w:val="22"/>
        </w:rPr>
        <w:t>If testing has progressed, Q2 commentary on lead gen traction could expand the addressable market narrative.</w:t>
      </w:r>
    </w:p>
    <w:p>
      <w:pPr>
        <w:pStyle w:val="ListBullet"/>
        <w:ind w:left="360" w:hanging="360"/>
      </w:pPr>
      <w:r>
        <w:rPr>
          <w:rFonts w:ascii="Calibri" w:hAnsi="Calibri"/>
          <w:b/>
          <w:color w:val="525866"/>
          <w:sz w:val="22"/>
        </w:rPr>
        <w:t xml:space="preserve">Q1 2026 — AI Creative Tools (Video): </w:t>
      </w:r>
      <w:r>
        <w:rPr>
          <w:rFonts w:ascii="Calibri" w:hAnsi="Calibri"/>
          <w:color w:val="525866"/>
          <w:sz w:val="22"/>
        </w:rPr>
        <w:t xml:space="preserve">The video ad creative generation tool was in testing as of the Q1 call and was expected to roll out to all accounts “shortly” before the June general release. </w:t>
      </w:r>
      <w:r>
        <w:rPr>
          <w:rFonts w:ascii="Calibri" w:hAnsi="Calibri"/>
          <w:i/>
          <w:color w:val="525866"/>
          <w:sz w:val="22"/>
        </w:rPr>
        <w:t xml:space="preserve">Implication: </w:t>
      </w:r>
      <w:r>
        <w:rPr>
          <w:rFonts w:ascii="Calibri" w:hAnsi="Calibri"/>
          <w:color w:val="525866"/>
          <w:sz w:val="22"/>
        </w:rPr>
        <w:t>Full rollout of video creative tools is a key enabler for the long-tail of new self-serve advertisers who lack creative production capabilities.</w:t>
      </w:r>
    </w:p>
    <w:p>
      <w:pPr>
        <w:pStyle w:val="ListBullet"/>
        <w:ind w:left="360" w:hanging="360"/>
      </w:pPr>
      <w:r>
        <w:rPr>
          <w:rFonts w:ascii="Calibri" w:hAnsi="Calibri"/>
          <w:b/>
          <w:color w:val="525866"/>
          <w:sz w:val="22"/>
        </w:rPr>
        <w:t xml:space="preserve">Q1 2026 — IAP-to-Hybrid Monetization Tailwind: </w:t>
      </w:r>
      <w:r>
        <w:rPr>
          <w:rFonts w:ascii="Calibri" w:hAnsi="Calibri"/>
          <w:color w:val="525866"/>
          <w:sz w:val="22"/>
        </w:rPr>
        <w:t xml:space="preserve">Management highlighted that IAP-only game publishers are increasingly adopting hybrid ad monetization models, as non-gaming advertisers (e-commerce, consumer brands) eliminate concerns about promoting competing titles. Management characterized this as a “strong tailwind for many quarters.” </w:t>
      </w:r>
      <w:r>
        <w:rPr>
          <w:rFonts w:ascii="Calibri" w:hAnsi="Calibri"/>
          <w:i/>
          <w:color w:val="525866"/>
          <w:sz w:val="22"/>
        </w:rPr>
        <w:t xml:space="preserve">Implication: </w:t>
      </w:r>
      <w:r>
        <w:rPr>
          <w:rFonts w:ascii="Calibri" w:hAnsi="Calibri"/>
          <w:color w:val="525866"/>
          <w:sz w:val="22"/>
        </w:rPr>
        <w:t>Supply-side expansion from IAP-to-hybrid conversion is a structural tailwind for gaming ad revenue that is not yet fully reflected in consensus.</w:t>
      </w:r>
    </w:p>
    <w:p>
      <w:pPr>
        <w:pStyle w:val="ListBullet"/>
        <w:ind w:left="360" w:hanging="360"/>
      </w:pPr>
      <w:r>
        <w:rPr>
          <w:rFonts w:ascii="Calibri" w:hAnsi="Calibri"/>
          <w:b/>
          <w:color w:val="525866"/>
          <w:sz w:val="22"/>
        </w:rPr>
        <w:t xml:space="preserve">Q1 2026 — Share Repurchase Activity: </w:t>
      </w:r>
      <w:r>
        <w:rPr>
          <w:rFonts w:ascii="Calibri" w:hAnsi="Calibri"/>
          <w:color w:val="525866"/>
          <w:sz w:val="22"/>
        </w:rPr>
        <w:t xml:space="preserve">APP repurchased and withheld 2.23M shares for $1.0B in Q1 2026, ending with $2.3B remaining under its repurchase authorization. </w:t>
      </w:r>
      <w:r>
        <w:rPr>
          <w:rFonts w:ascii="Calibri" w:hAnsi="Calibri"/>
          <w:i/>
          <w:color w:val="525866"/>
          <w:sz w:val="22"/>
        </w:rPr>
        <w:t xml:space="preserve">Implication: </w:t>
      </w:r>
      <w:r>
        <w:rPr>
          <w:rFonts w:ascii="Calibri" w:hAnsi="Calibri"/>
          <w:color w:val="525866"/>
          <w:sz w:val="22"/>
        </w:rPr>
        <w:t>Continued buyback activity signals management confidence in the business and provides EPS support.</w:t>
      </w:r>
    </w:p>
    <w:p>
      <w:pPr>
        <w:pStyle w:val="ListBullet"/>
        <w:ind w:left="360" w:hanging="360"/>
      </w:pPr>
      <w:r>
        <w:rPr>
          <w:rFonts w:ascii="Calibri" w:hAnsi="Calibri"/>
          <w:b/>
          <w:color w:val="525866"/>
          <w:sz w:val="22"/>
        </w:rPr>
        <w:t xml:space="preserve">Q1 2026 — Social Media App / Talent Strategy: </w:t>
      </w:r>
      <w:r>
        <w:rPr>
          <w:rFonts w:ascii="Calibri" w:hAnsi="Calibri"/>
          <w:color w:val="525866"/>
          <w:sz w:val="22"/>
        </w:rPr>
        <w:t xml:space="preserve">Management disclosed interest in building a social media app, framing it primarily as a talent attraction vehicle for recommendation-system engineers and a low-cost testing ground for engagement algorithms. Referenced prior TikTok bid. </w:t>
      </w:r>
      <w:r>
        <w:rPr>
          <w:rFonts w:ascii="Calibri" w:hAnsi="Calibri"/>
          <w:i/>
          <w:color w:val="525866"/>
          <w:sz w:val="22"/>
        </w:rPr>
        <w:t xml:space="preserve">Implication: </w:t>
      </w:r>
      <w:r>
        <w:rPr>
          <w:rFonts w:ascii="Calibri" w:hAnsi="Calibri"/>
          <w:color w:val="525866"/>
          <w:sz w:val="22"/>
        </w:rPr>
        <w:t>Not a near-term financial catalyst but signals long-term ambition in social monetization and recommendation engine technology.</w:t>
      </w:r>
    </w:p>
    <w:p>
      <w:r>
        <w:br w:type="page"/>
      </w:r>
    </w:p>
    <w:p>
      <w:pPr>
        <w:pStyle w:val="Heading1"/>
        <w:pBdr>
          <w:bottom w:val="single" w:sz="4" w:space="1" w:color="FB9120"/>
        </w:pBdr>
      </w:pPr>
      <w:r>
        <w:rPr>
          <w:rFonts w:ascii="Calibri" w:hAnsi="Calibri"/>
          <w:b/>
          <w:color w:val="3B4259"/>
          <w:sz w:val="40"/>
        </w:rPr>
        <w:t>7. Peer Commentaries — Q2 2026 Read-Throughs</w:t>
      </w:r>
    </w:p>
    <w:p>
      <w:r>
        <w:rPr>
          <w:rFonts w:ascii="Calibri" w:hAnsi="Calibri"/>
          <w:b/>
          <w:color w:val="525866"/>
          <w:sz w:val="22"/>
        </w:rPr>
        <w:t xml:space="preserve">Key Takeaway: </w:t>
      </w:r>
      <w:r>
        <w:rPr>
          <w:rFonts w:ascii="Calibri" w:hAnsi="Calibri"/>
          <w:color w:val="525866"/>
          <w:sz w:val="22"/>
        </w:rPr>
        <w:t>Q2 2026 peer earnings from META, GOOGL, SNAP, and PINS all point to a healthy digital advertising environment — strong demand, improving ROAS, and AI-driven performance gains — which is a constructive read-through for APP’s Q2 results. The most relevant signal is META’s 27% ad revenue growth and the broad theme of AI improving conversion rates and advertiser ROAS, which directly validates APP’s AXON model.</w:t>
      </w:r>
    </w:p>
    <w:p>
      <w:r>
        <w:rPr>
          <w:rFonts w:ascii="Calibri" w:hAnsi="Calibri"/>
          <w:color w:val="525866"/>
          <w:sz w:val="22"/>
        </w:rPr>
        <w:t>All peer commentary below is from Q2 2026 earnings calls and releases (July–August 2026), covering the same reporting quarter as APP’s upcoming print.</w:t>
      </w:r>
    </w:p>
    <w:p>
      <w:pPr>
        <w:pStyle w:val="Heading2"/>
      </w:pPr>
      <w:r>
        <w:rPr>
          <w:rFonts w:ascii="Calibri" w:hAnsi="Calibri"/>
          <w:b/>
          <w:color w:val="3B4259"/>
          <w:sz w:val="28"/>
        </w:rPr>
        <w:t>META Platforms (Q2 2026 Earnings — July 29, 2026)</w:t>
      </w:r>
    </w:p>
    <w:p>
      <w:r>
        <w:rPr>
          <w:rFonts w:ascii="Calibri" w:hAnsi="Calibri"/>
          <w:b/>
          <w:color w:val="525866"/>
          <w:sz w:val="22"/>
        </w:rPr>
        <w:t xml:space="preserve">Read-Through Signal: </w:t>
      </w:r>
      <w:r>
        <w:rPr>
          <w:rFonts w:ascii="Calibri" w:hAnsi="Calibri"/>
          <w:b/>
          <w:color w:val="30A46C"/>
          <w:sz w:val="22"/>
        </w:rPr>
        <w:t>Strongly Positive</w:t>
      </w:r>
    </w:p>
    <w:p>
      <w:pPr>
        <w:pStyle w:val="ListBullet"/>
        <w:ind w:left="360" w:hanging="360"/>
      </w:pPr>
      <w:r>
        <w:rPr>
          <w:rFonts w:ascii="Calibri" w:hAnsi="Calibri"/>
          <w:b/>
          <w:color w:val="525866"/>
          <w:sz w:val="22"/>
        </w:rPr>
        <w:t xml:space="preserve">Digital ad market strength: </w:t>
      </w:r>
      <w:r>
        <w:rPr>
          <w:rFonts w:ascii="Calibri" w:hAnsi="Calibri"/>
          <w:color w:val="525866"/>
          <w:sz w:val="22"/>
        </w:rPr>
        <w:t>META’s Family of Apps ad revenue grew 27% YoY to $59.4B in Q2 2026, with total ad impressions up 14% and average price per ad up 12% YoY. META noted its ads business was “reporting faster year-over-year revenue growth on a dollar basis than any other reported ad business.” This is the strongest possible read-through for the overall digital ad market heading into APP’s Q2 print.</w:t>
      </w:r>
    </w:p>
    <w:p>
      <w:pPr>
        <w:pStyle w:val="ListBullet"/>
        <w:ind w:left="360" w:hanging="360"/>
      </w:pPr>
      <w:r>
        <w:rPr>
          <w:rFonts w:ascii="Calibri" w:hAnsi="Calibri"/>
          <w:b/>
          <w:color w:val="525866"/>
          <w:sz w:val="22"/>
        </w:rPr>
        <w:t xml:space="preserve">AI driving conversion and ROAS: </w:t>
      </w:r>
      <w:r>
        <w:rPr>
          <w:rFonts w:ascii="Calibri" w:hAnsi="Calibri"/>
          <w:color w:val="525866"/>
          <w:sz w:val="22"/>
        </w:rPr>
        <w:t>META introduced the “Meta Generative Recommender” — a paradigm shift using LLMs to reason about ad content and user preferences together. Early results showed an 8.3% increase in ad clicks and a 15.7% uplift in conversions on Facebook. This validates APP’s core thesis that AI-driven ad matching drives superior ROAS, and suggests the broader advertiser ecosystem is increasingly comfortable with AI-optimized performance marketing.</w:t>
      </w:r>
    </w:p>
    <w:p>
      <w:pPr>
        <w:pStyle w:val="ListBullet"/>
        <w:ind w:left="360" w:hanging="360"/>
      </w:pPr>
      <w:r>
        <w:rPr>
          <w:rFonts w:ascii="Calibri" w:hAnsi="Calibri"/>
          <w:b/>
          <w:color w:val="525866"/>
          <w:sz w:val="22"/>
        </w:rPr>
        <w:t xml:space="preserve">SMB advertiser growth: </w:t>
      </w:r>
      <w:r>
        <w:rPr>
          <w:rFonts w:ascii="Calibri" w:hAnsi="Calibri"/>
          <w:color w:val="525866"/>
          <w:sz w:val="22"/>
        </w:rPr>
        <w:t>Over 9 million small businesses on META’s platforms are now using at least one AI ad creative tool, with Advantage Plus end-to-end solutions reaching a $75B+ annual revenue run rate. The rapid SMB adoption of AI-powered tools is a direct read-through for APP’s self-serve platform opening — if SMBs are embracing AI ad tools on META, they are likely to be receptive to APP’s self-serve AXON platform.</w:t>
      </w:r>
    </w:p>
    <w:p>
      <w:pPr>
        <w:pStyle w:val="ListBullet"/>
        <w:ind w:left="360" w:hanging="360"/>
      </w:pPr>
      <w:r>
        <w:rPr>
          <w:rFonts w:ascii="Calibri" w:hAnsi="Calibri"/>
          <w:b/>
          <w:color w:val="525866"/>
          <w:sz w:val="22"/>
        </w:rPr>
        <w:t xml:space="preserve">App event conversions: </w:t>
      </w:r>
      <w:r>
        <w:rPr>
          <w:rFonts w:ascii="Calibri" w:hAnsi="Calibri"/>
          <w:color w:val="525866"/>
          <w:sz w:val="22"/>
        </w:rPr>
        <w:t>Early LLM pilots drove a 1% increase in app event conversions on Instagram in Q2. While modest, this is directionally positive for APP’s gaming and app install advertising business, which depends on the health of the mobile app advertising ecosystem.</w:t>
      </w:r>
    </w:p>
    <w:p>
      <w:pPr>
        <w:pStyle w:val="Heading2"/>
      </w:pPr>
      <w:r>
        <w:rPr>
          <w:rFonts w:ascii="Calibri" w:hAnsi="Calibri"/>
          <w:b/>
          <w:color w:val="3B4259"/>
          <w:sz w:val="28"/>
        </w:rPr>
        <w:t>Alphabet / Google (Q2 2026 Earnings — July 22, 2026)</w:t>
      </w:r>
    </w:p>
    <w:p>
      <w:r>
        <w:rPr>
          <w:rFonts w:ascii="Calibri" w:hAnsi="Calibri"/>
          <w:b/>
          <w:color w:val="525866"/>
          <w:sz w:val="22"/>
        </w:rPr>
        <w:t xml:space="preserve">Read-Through Signal: </w:t>
      </w:r>
      <w:r>
        <w:rPr>
          <w:rFonts w:ascii="Calibri" w:hAnsi="Calibri"/>
          <w:b/>
          <w:color w:val="30A46C"/>
          <w:sz w:val="22"/>
        </w:rPr>
        <w:t>Positive</w:t>
      </w:r>
    </w:p>
    <w:p>
      <w:pPr>
        <w:pStyle w:val="ListBullet"/>
        <w:ind w:left="360" w:hanging="360"/>
      </w:pPr>
      <w:r>
        <w:rPr>
          <w:rFonts w:ascii="Calibri" w:hAnsi="Calibri"/>
          <w:b/>
          <w:color w:val="525866"/>
          <w:sz w:val="22"/>
        </w:rPr>
        <w:t xml:space="preserve">Strong ad market: </w:t>
      </w:r>
      <w:r>
        <w:rPr>
          <w:rFonts w:ascii="Calibri" w:hAnsi="Calibri"/>
          <w:color w:val="525866"/>
          <w:sz w:val="22"/>
        </w:rPr>
        <w:t>Alphabet’s total advertising revenues grew 14% YoY in Q2 2026, with Google Search up 17% to $63.3B and YouTube up 13% to $11.1B. Retail was the largest contributor to search growth. This broad-based strength confirms the digital ad market is healthy entering APP’s Q2 print.</w:t>
      </w:r>
    </w:p>
    <w:p>
      <w:pPr>
        <w:pStyle w:val="ListBullet"/>
        <w:ind w:left="360" w:hanging="360"/>
      </w:pPr>
      <w:r>
        <w:rPr>
          <w:rFonts w:ascii="Calibri" w:hAnsi="Calibri"/>
          <w:b/>
          <w:color w:val="525866"/>
          <w:sz w:val="22"/>
        </w:rPr>
        <w:t xml:space="preserve">AI-powered campaigns driving ROAS: </w:t>
      </w:r>
      <w:r>
        <w:rPr>
          <w:rFonts w:ascii="Calibri" w:hAnsi="Calibri"/>
          <w:color w:val="525866"/>
          <w:sz w:val="22"/>
        </w:rPr>
        <w:t>Google’s AI-powered Performance Max (PMax/AI Max) campaigns are now used by 500,000+ advertisers and deliver “an average of 15% more conversions or value on search at a similar ROAS.” This is a direct validation of the performance marketing thesis that underpins APP’s AXON model — advertisers are increasingly willing to pay for AI-optimized performance.</w:t>
      </w:r>
    </w:p>
    <w:p>
      <w:pPr>
        <w:pStyle w:val="ListBullet"/>
        <w:ind w:left="360" w:hanging="360"/>
      </w:pPr>
      <w:r>
        <w:rPr>
          <w:rFonts w:ascii="Calibri" w:hAnsi="Calibri"/>
          <w:b/>
          <w:color w:val="525866"/>
          <w:sz w:val="22"/>
        </w:rPr>
        <w:t xml:space="preserve">SMB AI creative adoption: </w:t>
      </w:r>
      <w:r>
        <w:rPr>
          <w:rFonts w:ascii="Calibri" w:hAnsi="Calibri"/>
          <w:color w:val="525866"/>
          <w:sz w:val="22"/>
        </w:rPr>
        <w:t>Over half of Google’s SMB customers globally now use AI to create or optimize their creatives. This accelerating SMB adoption of AI ad tools is a positive read-through for APP’s self-serve platform, which relies on AI creative generation to lower the barrier to entry for new advertisers.</w:t>
      </w:r>
    </w:p>
    <w:p>
      <w:pPr>
        <w:pStyle w:val="ListBullet"/>
        <w:ind w:left="360" w:hanging="360"/>
      </w:pPr>
      <w:r>
        <w:rPr>
          <w:rFonts w:ascii="Calibri" w:hAnsi="Calibri"/>
          <w:b/>
          <w:color w:val="525866"/>
          <w:sz w:val="22"/>
        </w:rPr>
        <w:t xml:space="preserve">Retail / e-commerce strength: </w:t>
      </w:r>
      <w:r>
        <w:rPr>
          <w:rFonts w:ascii="Calibri" w:hAnsi="Calibri"/>
          <w:color w:val="525866"/>
          <w:sz w:val="22"/>
        </w:rPr>
        <w:t>Retail was the “greatest contribution” to Google search ad revenue growth. Google established the open-source Universal Commerce Protocol (UCP) as a new e-commerce standard, with Target and Steve Madden adopting it. Strong retail ad spend is a positive read-through for APP’s e-commerce vertical, which is the fastest-growing segment of its business.</w:t>
      </w:r>
    </w:p>
    <w:p>
      <w:pPr>
        <w:pStyle w:val="ListBullet"/>
        <w:ind w:left="360" w:hanging="360"/>
      </w:pPr>
      <w:r>
        <w:rPr>
          <w:rFonts w:ascii="Calibri" w:hAnsi="Calibri"/>
          <w:b/>
          <w:color w:val="525866"/>
          <w:sz w:val="22"/>
        </w:rPr>
        <w:t xml:space="preserve">Slight FX headwind flagged for Q3: </w:t>
      </w:r>
      <w:r>
        <w:rPr>
          <w:rFonts w:ascii="Calibri" w:hAnsi="Calibri"/>
          <w:color w:val="525866"/>
          <w:sz w:val="22"/>
        </w:rPr>
        <w:t>Google noted a slight FX headwind to Q3 consolidated revenue and flagged that it will begin “lapping an acceleration in search performance that began in Q3 last year.” This is a minor caution for the broader ad market in Q3 but does not affect APP’s Q2 read-through.</w:t>
      </w:r>
    </w:p>
    <w:p>
      <w:pPr>
        <w:pStyle w:val="Heading2"/>
      </w:pPr>
      <w:r>
        <w:rPr>
          <w:rFonts w:ascii="Calibri" w:hAnsi="Calibri"/>
          <w:b/>
          <w:color w:val="3B4259"/>
          <w:sz w:val="28"/>
        </w:rPr>
        <w:t>Snap Inc. (Q2 2026 Earnings — August 3, 2026)</w:t>
      </w:r>
    </w:p>
    <w:p>
      <w:r>
        <w:rPr>
          <w:rFonts w:ascii="Calibri" w:hAnsi="Calibri"/>
          <w:b/>
          <w:color w:val="525866"/>
          <w:sz w:val="22"/>
        </w:rPr>
        <w:t xml:space="preserve">Read-Through Signal: </w:t>
      </w:r>
      <w:r>
        <w:rPr>
          <w:rFonts w:ascii="Calibri" w:hAnsi="Calibri"/>
          <w:b/>
          <w:color w:val="30A46C"/>
          <w:sz w:val="22"/>
        </w:rPr>
        <w:t>Moderately Positive</w:t>
      </w:r>
    </w:p>
    <w:p>
      <w:pPr>
        <w:pStyle w:val="ListBullet"/>
        <w:ind w:left="360" w:hanging="360"/>
      </w:pPr>
      <w:r>
        <w:rPr>
          <w:rFonts w:ascii="Calibri" w:hAnsi="Calibri"/>
          <w:b/>
          <w:color w:val="525866"/>
          <w:sz w:val="22"/>
        </w:rPr>
        <w:t xml:space="preserve">Ad revenue recovery: </w:t>
      </w:r>
      <w:r>
        <w:rPr>
          <w:rFonts w:ascii="Calibri" w:hAnsi="Calibri"/>
          <w:color w:val="525866"/>
          <w:sz w:val="22"/>
        </w:rPr>
        <w:t>Snap’s advertising revenue grew 9% YoY to $1.28B in Q2 2026, with overall revenue up 19% YoY to $1.6B. CEO Evan Spiegel noted the improvement “reflects progress across both the advertising platform and go-to-market execution,” and that “the breadth of the improvement gives us confidence it’s being supported by stronger fundamentals.” A recovering Snap ad business is a positive read-through for the broader mobile advertising ecosystem that APP operates in.</w:t>
      </w:r>
    </w:p>
    <w:p>
      <w:pPr>
        <w:pStyle w:val="ListBullet"/>
        <w:ind w:left="360" w:hanging="360"/>
      </w:pPr>
      <w:r>
        <w:rPr>
          <w:rFonts w:ascii="Calibri" w:hAnsi="Calibri"/>
          <w:b/>
          <w:color w:val="525866"/>
          <w:sz w:val="22"/>
        </w:rPr>
        <w:t xml:space="preserve">Performance advertising improvements: </w:t>
      </w:r>
      <w:r>
        <w:rPr>
          <w:rFonts w:ascii="Calibri" w:hAnsi="Calibri"/>
          <w:color w:val="525866"/>
          <w:sz w:val="22"/>
        </w:rPr>
        <w:t>Snap reported a 56% YoY increase in conversions across the platform (app and pixel purchase goals), with cost per install down 8% YoY, cost per purchase down 18%, and app purchase volume up 128%. Dynamic product ads revenue grew 43%. These metrics indicate that mobile performance advertising is in a strong cycle — directly positive for APP’s gaming and consumer ad business.</w:t>
      </w:r>
    </w:p>
    <w:p>
      <w:pPr>
        <w:pStyle w:val="ListBullet"/>
        <w:ind w:left="360" w:hanging="360"/>
      </w:pPr>
      <w:r>
        <w:rPr>
          <w:rFonts w:ascii="Calibri" w:hAnsi="Calibri"/>
          <w:b/>
          <w:color w:val="525866"/>
          <w:sz w:val="22"/>
        </w:rPr>
        <w:t xml:space="preserve">SMB strength: </w:t>
      </w:r>
      <w:r>
        <w:rPr>
          <w:rFonts w:ascii="Calibri" w:hAnsi="Calibri"/>
          <w:color w:val="525866"/>
          <w:sz w:val="22"/>
        </w:rPr>
        <w:t>Snap highlighted continued strength among small and medium-sized businesses, with its “Smart Campaign Solutions” AI-powered automation tools driving better outcomes with less manual work. This is consistent with the broader theme of SMB adoption of AI ad tools, positive for APP’s self-serve platform.</w:t>
      </w:r>
    </w:p>
    <w:p>
      <w:pPr>
        <w:pStyle w:val="ListBullet"/>
        <w:ind w:left="360" w:hanging="360"/>
      </w:pPr>
      <w:r>
        <w:rPr>
          <w:rFonts w:ascii="Calibri" w:hAnsi="Calibri"/>
          <w:b/>
          <w:color w:val="525866"/>
          <w:sz w:val="22"/>
        </w:rPr>
        <w:t xml:space="preserve">World Cup tailwind / Q3 caution: </w:t>
      </w:r>
      <w:r>
        <w:rPr>
          <w:rFonts w:ascii="Calibri" w:hAnsi="Calibri"/>
          <w:color w:val="525866"/>
          <w:sz w:val="22"/>
        </w:rPr>
        <w:t>Snap noted that World Cup-related spending contributed to Q2 and expects normalization in Q3, creating a more difficult YoY comparison. This is a minor caution for the broader ad market in Q3 but does not affect APP’s Q2 read-through.</w:t>
      </w:r>
    </w:p>
    <w:p>
      <w:pPr>
        <w:pStyle w:val="ListBullet"/>
        <w:ind w:left="360" w:hanging="360"/>
      </w:pPr>
      <w:r>
        <w:rPr>
          <w:rFonts w:ascii="Calibri" w:hAnsi="Calibri"/>
          <w:b/>
          <w:color w:val="525866"/>
          <w:sz w:val="22"/>
        </w:rPr>
        <w:t xml:space="preserve">ROAS validation: </w:t>
      </w:r>
      <w:r>
        <w:rPr>
          <w:rFonts w:ascii="Calibri" w:hAnsi="Calibri"/>
          <w:color w:val="525866"/>
          <w:sz w:val="22"/>
        </w:rPr>
        <w:t>An independent study found Snapchat delivered ~19.3% higher incremental ROAS than the blended incremental return from social advertising overall. Improving ROAS across platforms validates the performance marketing ecosystem that APP participates in.</w:t>
      </w:r>
    </w:p>
    <w:p>
      <w:pPr>
        <w:pStyle w:val="Heading2"/>
      </w:pPr>
      <w:r>
        <w:rPr>
          <w:rFonts w:ascii="Calibri" w:hAnsi="Calibri"/>
          <w:b/>
          <w:color w:val="3B4259"/>
          <w:sz w:val="28"/>
        </w:rPr>
        <w:t>Pinterest (Q2 2026 Earnings — August 4, 2026)</w:t>
      </w:r>
    </w:p>
    <w:p>
      <w:r>
        <w:rPr>
          <w:rFonts w:ascii="Calibri" w:hAnsi="Calibri"/>
          <w:b/>
          <w:color w:val="525866"/>
          <w:sz w:val="22"/>
        </w:rPr>
        <w:t xml:space="preserve">Read-Through Signal: </w:t>
      </w:r>
      <w:r>
        <w:rPr>
          <w:rFonts w:ascii="Calibri" w:hAnsi="Calibri"/>
          <w:b/>
          <w:color w:val="30A46C"/>
          <w:sz w:val="22"/>
        </w:rPr>
        <w:t>Moderately Positive</w:t>
      </w:r>
    </w:p>
    <w:p>
      <w:pPr>
        <w:pStyle w:val="ListBullet"/>
        <w:ind w:left="360" w:hanging="360"/>
      </w:pPr>
      <w:r>
        <w:rPr>
          <w:rFonts w:ascii="Calibri" w:hAnsi="Calibri"/>
          <w:b/>
          <w:color w:val="525866"/>
          <w:sz w:val="22"/>
        </w:rPr>
        <w:t xml:space="preserve">Strong revenue growth: </w:t>
      </w:r>
      <w:r>
        <w:rPr>
          <w:rFonts w:ascii="Calibri" w:hAnsi="Calibri"/>
          <w:color w:val="525866"/>
          <w:sz w:val="22"/>
        </w:rPr>
        <w:t>Pinterest reported Q2 2026 global revenue of $1.18B, up 18% YoY (17% constant currency), marking the fourth consecutive quarter above $1B. U.S. &amp; Canada revenue growth accelerated 5 points sequentially to 18% YoY, driven by ad platform enhancements improving ROAS and AI-driven bidding optimizations.</w:t>
      </w:r>
    </w:p>
    <w:p>
      <w:pPr>
        <w:pStyle w:val="ListBullet"/>
        <w:ind w:left="360" w:hanging="360"/>
      </w:pPr>
      <w:r>
        <w:rPr>
          <w:rFonts w:ascii="Calibri" w:hAnsi="Calibri"/>
          <w:b/>
          <w:color w:val="525866"/>
          <w:sz w:val="22"/>
        </w:rPr>
        <w:t xml:space="preserve">Retail and e-commerce strength: </w:t>
      </w:r>
      <w:r>
        <w:rPr>
          <w:rFonts w:ascii="Calibri" w:hAnsi="Calibri"/>
          <w:color w:val="525866"/>
          <w:sz w:val="22"/>
        </w:rPr>
        <w:t>Pinterest highlighted strength in retail and emerging verticals including financial services, travel, and health. Large retailer spend accelerated in the U.S. &amp; Canada, with certain retailers leaning in due to ROAS enhancements. Asia-based cross-border retailer spend also contributed. This is a positive read-through for APP’s e-commerce vertical, which is targeting the same retail advertiser base.</w:t>
      </w:r>
    </w:p>
    <w:p>
      <w:pPr>
        <w:pStyle w:val="ListBullet"/>
        <w:ind w:left="360" w:hanging="360"/>
      </w:pPr>
      <w:r>
        <w:rPr>
          <w:rFonts w:ascii="Calibri" w:hAnsi="Calibri"/>
          <w:b/>
          <w:color w:val="525866"/>
          <w:sz w:val="22"/>
        </w:rPr>
        <w:t xml:space="preserve">AI-driven ROAS improvements: </w:t>
      </w:r>
      <w:r>
        <w:rPr>
          <w:rFonts w:ascii="Calibri" w:hAnsi="Calibri"/>
          <w:color w:val="525866"/>
          <w:sz w:val="22"/>
        </w:rPr>
        <w:t>Advertisers using Pinterest Performance Plus campaigns see “meaningfully better ROAS” and grow spend faster. Updates to ad delivery models drove a 28% improvement in ROAS during testing for SMB advertisers. This validates the broader theme that AI-driven ad optimization is driving advertiser budget increases — directly positive for APP’s AXON model.</w:t>
      </w:r>
    </w:p>
    <w:p>
      <w:pPr>
        <w:pStyle w:val="ListBullet"/>
        <w:ind w:left="360" w:hanging="360"/>
      </w:pPr>
      <w:r>
        <w:rPr>
          <w:rFonts w:ascii="Calibri" w:hAnsi="Calibri"/>
          <w:b/>
          <w:color w:val="525866"/>
          <w:sz w:val="22"/>
        </w:rPr>
        <w:t xml:space="preserve">Prime Day shift / World Cup tailwind: </w:t>
      </w:r>
      <w:r>
        <w:rPr>
          <w:rFonts w:ascii="Calibri" w:hAnsi="Calibri"/>
          <w:color w:val="525866"/>
          <w:sz w:val="22"/>
        </w:rPr>
        <w:t>Pinterest noted a ~0.5 point benefit from Prime Day shifting from Q3 to Q2, and a ~1 point benefit from World Cup spend. Both will represent headwinds in Q3. Minor caution for Q3 but not relevant to APP’s Q2 read-through.</w:t>
      </w:r>
    </w:p>
    <w:p>
      <w:pPr>
        <w:pStyle w:val="ListBullet"/>
        <w:ind w:left="360" w:hanging="360"/>
      </w:pPr>
      <w:r>
        <w:rPr>
          <w:rFonts w:ascii="Calibri" w:hAnsi="Calibri"/>
          <w:b/>
          <w:color w:val="525866"/>
          <w:sz w:val="22"/>
        </w:rPr>
        <w:t xml:space="preserve">Asia cross-border pressure in Europe: </w:t>
      </w:r>
      <w:r>
        <w:rPr>
          <w:rFonts w:ascii="Calibri" w:hAnsi="Calibri"/>
          <w:color w:val="525866"/>
          <w:sz w:val="22"/>
        </w:rPr>
        <w:t>Pinterest flagged incremental pressure mid-quarter from Asia-based cross-border retailers impacted by regulatory actions in Europe. This is a minor negative for the international ad market but has limited direct relevance to APP’s primarily U.S.-focused consumer vertical.</w:t>
      </w:r>
    </w:p>
    <w:p>
      <w:pPr>
        <w:pStyle w:val="Heading2"/>
      </w:pPr>
      <w:r>
        <w:rPr>
          <w:rFonts w:ascii="Calibri" w:hAnsi="Calibri"/>
          <w:b/>
          <w:color w:val="3B4259"/>
          <w:sz w:val="28"/>
        </w:rPr>
        <w:t>Ad Tech / Supply-Side Peers (Conference Commentary, June 2026)</w:t>
      </w:r>
    </w:p>
    <w:p>
      <w:r>
        <w:rPr>
          <w:rFonts w:ascii="Calibri" w:hAnsi="Calibri"/>
          <w:b/>
          <w:color w:val="525866"/>
          <w:sz w:val="22"/>
        </w:rPr>
        <w:t xml:space="preserve">Read-Through Signal: </w:t>
      </w:r>
      <w:r>
        <w:rPr>
          <w:rFonts w:ascii="Calibri" w:hAnsi="Calibri"/>
          <w:b/>
          <w:color w:val="30A46C"/>
          <w:sz w:val="22"/>
        </w:rPr>
        <w:t>Neutral to Positive</w:t>
      </w:r>
    </w:p>
    <w:p>
      <w:pPr>
        <w:pStyle w:val="ListBullet"/>
        <w:ind w:left="360" w:hanging="360"/>
      </w:pPr>
      <w:r>
        <w:rPr>
          <w:rFonts w:ascii="Calibri" w:hAnsi="Calibri"/>
          <w:b/>
          <w:color w:val="525866"/>
          <w:sz w:val="22"/>
        </w:rPr>
        <w:t xml:space="preserve">PubMatic (Evercore TMT Conference, June 3, 2026): </w:t>
      </w:r>
      <w:r>
        <w:rPr>
          <w:rFonts w:ascii="Calibri" w:hAnsi="Calibri"/>
          <w:color w:val="525866"/>
          <w:sz w:val="22"/>
        </w:rPr>
        <w:t>CEO Rajiv Goel highlighted that generative AI is the biggest transformation in the ad ecosystem, larger than real-time bidding or the shift to mobile. PubMatic’s emerging revenue streams (commerce media, Agentic OS, data business) grew 80% YoY and now represent 14% of revenue. The company guided for double-digit growth in H2 2026. The strong programmatic and commerce media environment is a positive read-through for APP’s ad tech infrastructure.</w:t>
      </w:r>
    </w:p>
    <w:p>
      <w:pPr>
        <w:pStyle w:val="ListBullet"/>
        <w:ind w:left="360" w:hanging="360"/>
      </w:pPr>
      <w:r>
        <w:rPr>
          <w:rFonts w:ascii="Calibri" w:hAnsi="Calibri"/>
          <w:b/>
          <w:color w:val="525866"/>
          <w:sz w:val="22"/>
        </w:rPr>
        <w:t xml:space="preserve">Magnite (Roth Capital AdTech Summit, June 15, 2026): </w:t>
      </w:r>
      <w:r>
        <w:rPr>
          <w:rFonts w:ascii="Calibri" w:hAnsi="Calibri"/>
          <w:color w:val="525866"/>
          <w:sz w:val="22"/>
        </w:rPr>
        <w:t>Magnite crossed 50% of revenue from CTV for the first time in Q1 2026, with CTV growing in the 30s%. The company highlighted that investor sentiment on ad spend is “neutral to not very concerned” about macro softness. The CTV growth trajectory is relevant as APP has identified CTV as a longer-term opportunity, though management noted it will have no material financial impact in 2026.</w:t>
      </w:r>
    </w:p>
    <w:p>
      <w:pPr>
        <w:pStyle w:val="ListBullet"/>
        <w:ind w:left="360" w:hanging="360"/>
      </w:pPr>
      <w:r>
        <w:rPr>
          <w:rFonts w:ascii="Calibri" w:hAnsi="Calibri"/>
          <w:b/>
          <w:color w:val="525866"/>
          <w:sz w:val="22"/>
        </w:rPr>
        <w:t xml:space="preserve">Magnite (Craig-Hallum Cannes Webinar, June 24, 2026): </w:t>
      </w:r>
      <w:r>
        <w:rPr>
          <w:rFonts w:ascii="Calibri" w:hAnsi="Calibri"/>
          <w:color w:val="525866"/>
          <w:sz w:val="22"/>
        </w:rPr>
        <w:t>Magnite highlighted the theme of “outcome-oriented advertising” becoming central to every agency conversation, with streaming particularly conducive to outcome-based advertising due to its trackability and attribution capabilities. The Walmart/Vibe acquisition was cited as an affirmation that streaming services need “tens of thousands of advertisers, not 500–1,000 legacy linear broadcast advertisers” — directly validating APP’s self-serve platform thesis of onboarding a long tail of new advertisers.</w:t>
      </w:r>
    </w:p>
    <w:p>
      <w:pPr>
        <w:pStyle w:val="ListBullet"/>
        <w:ind w:left="360" w:hanging="360"/>
      </w:pPr>
      <w:r>
        <w:rPr>
          <w:rFonts w:ascii="Calibri" w:hAnsi="Calibri"/>
          <w:b/>
          <w:color w:val="525866"/>
          <w:sz w:val="22"/>
        </w:rPr>
        <w:t xml:space="preserve">DoubleVerify (BofA Tech Conference, June 4, 2026): </w:t>
      </w:r>
      <w:r>
        <w:rPr>
          <w:rFonts w:ascii="Calibri" w:hAnsi="Calibri"/>
          <w:color w:val="525866"/>
          <w:sz w:val="22"/>
        </w:rPr>
        <w:t>DV highlighted that overall digital ad spend is growing “single digit every year” on the open web, but social and CTV are growing much faster. Social measurement grew 23% and social activation grew 90%+ in Q1 2026. The strong social ad spend environment is a positive read-through for APP’s consumer vertical, which targets social-adjacent performance marketing budgets.</w:t>
      </w:r>
    </w:p>
    <w:p>
      <w:pPr>
        <w:pStyle w:val="Heading2"/>
      </w:pPr>
      <w:r>
        <w:rPr>
          <w:rFonts w:ascii="Calibri" w:hAnsi="Calibri"/>
          <w:b/>
          <w:color w:val="3B4259"/>
          <w:sz w:val="28"/>
        </w:rPr>
        <w:t>Peer Read-Through Summary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Report Date</w:t>
            </w:r>
          </w:p>
        </w:tc>
        <w:tc>
          <w:tcPr>
            <w:tcW w:type="dxa" w:w="1728"/>
            <w:shd w:val="clear" w:color="auto" w:fill="3B4259"/>
          </w:tcPr>
          <w:p>
            <w:r>
              <w:rPr>
                <w:rFonts w:ascii="Calibri" w:hAnsi="Calibri"/>
                <w:b/>
                <w:color w:val="FFFFFF"/>
                <w:sz w:val="22"/>
              </w:rPr>
              <w:t>Key Metric</w:t>
            </w:r>
          </w:p>
        </w:tc>
        <w:tc>
          <w:tcPr>
            <w:tcW w:type="dxa" w:w="1728"/>
            <w:shd w:val="clear" w:color="auto" w:fill="3B4259"/>
          </w:tcPr>
          <w:p>
            <w:r>
              <w:rPr>
                <w:rFonts w:ascii="Calibri" w:hAnsi="Calibri"/>
                <w:b/>
                <w:color w:val="FFFFFF"/>
                <w:sz w:val="22"/>
              </w:rPr>
              <w:t>APP Read-Through</w:t>
            </w:r>
          </w:p>
        </w:tc>
        <w:tc>
          <w:tcPr>
            <w:tcW w:type="dxa" w:w="1728"/>
            <w:shd w:val="clear" w:color="auto" w:fill="3B4259"/>
          </w:tcPr>
          <w:p>
            <w:r>
              <w:rPr>
                <w:rFonts w:ascii="Calibri" w:hAnsi="Calibri"/>
                <w:b/>
                <w:color w:val="FFFFFF"/>
                <w:sz w:val="22"/>
              </w:rPr>
              <w:t>Signal</w:t>
            </w:r>
          </w:p>
        </w:tc>
      </w:tr>
      <w:tr>
        <w:tc>
          <w:tcPr>
            <w:tcW w:type="dxa" w:w="1728"/>
          </w:tcPr>
          <w:p>
            <w:r>
              <w:rPr>
                <w:rFonts w:ascii="Calibri" w:hAnsi="Calibri"/>
                <w:sz w:val="22"/>
              </w:rPr>
              <w:t>META</w:t>
            </w:r>
          </w:p>
        </w:tc>
        <w:tc>
          <w:tcPr>
            <w:tcW w:type="dxa" w:w="1728"/>
          </w:tcPr>
          <w:p>
            <w:r>
              <w:rPr>
                <w:rFonts w:ascii="Calibri" w:hAnsi="Calibri"/>
                <w:sz w:val="22"/>
              </w:rPr>
              <w:t>Jul 29, 2026</w:t>
            </w:r>
          </w:p>
        </w:tc>
        <w:tc>
          <w:tcPr>
            <w:tcW w:type="dxa" w:w="1728"/>
          </w:tcPr>
          <w:p>
            <w:r>
              <w:rPr>
                <w:rFonts w:ascii="Calibri" w:hAnsi="Calibri"/>
                <w:sz w:val="22"/>
              </w:rPr>
              <w:t>Ad revenue +27% YoY; impressions +14%; price/ad +12%</w:t>
            </w:r>
          </w:p>
        </w:tc>
        <w:tc>
          <w:tcPr>
            <w:tcW w:type="dxa" w:w="1728"/>
          </w:tcPr>
          <w:p>
            <w:r>
              <w:rPr>
                <w:rFonts w:ascii="Calibri" w:hAnsi="Calibri"/>
                <w:sz w:val="22"/>
              </w:rPr>
              <w:t>Strongest possible confirmation of digital ad market health; AI-driven ROAS improvements validate AXON model</w:t>
            </w:r>
          </w:p>
        </w:tc>
        <w:tc>
          <w:tcPr>
            <w:tcW w:type="dxa" w:w="1728"/>
          </w:tcPr>
          <w:p>
            <w:r>
              <w:rPr>
                <w:rFonts w:ascii="Calibri" w:hAnsi="Calibri"/>
                <w:b/>
                <w:color w:val="30A46C"/>
                <w:sz w:val="22"/>
              </w:rPr>
              <w:t>Strongly Positive</w:t>
            </w:r>
          </w:p>
        </w:tc>
      </w:tr>
      <w:tr>
        <w:tc>
          <w:tcPr>
            <w:tcW w:type="dxa" w:w="1728"/>
          </w:tcPr>
          <w:p>
            <w:r>
              <w:rPr>
                <w:rFonts w:ascii="Calibri" w:hAnsi="Calibri"/>
                <w:sz w:val="22"/>
              </w:rPr>
              <w:t>GOOGL</w:t>
            </w:r>
          </w:p>
        </w:tc>
        <w:tc>
          <w:tcPr>
            <w:tcW w:type="dxa" w:w="1728"/>
          </w:tcPr>
          <w:p>
            <w:r>
              <w:rPr>
                <w:rFonts w:ascii="Calibri" w:hAnsi="Calibri"/>
                <w:sz w:val="22"/>
              </w:rPr>
              <w:t>Jul 22, 2026</w:t>
            </w:r>
          </w:p>
        </w:tc>
        <w:tc>
          <w:tcPr>
            <w:tcW w:type="dxa" w:w="1728"/>
          </w:tcPr>
          <w:p>
            <w:r>
              <w:rPr>
                <w:rFonts w:ascii="Calibri" w:hAnsi="Calibri"/>
                <w:sz w:val="22"/>
              </w:rPr>
              <w:t>Total ad revenue +14% YoY; retail largest contributor; PMax +15% conversions at similar ROAS</w:t>
            </w:r>
          </w:p>
        </w:tc>
        <w:tc>
          <w:tcPr>
            <w:tcW w:type="dxa" w:w="1728"/>
          </w:tcPr>
          <w:p>
            <w:r>
              <w:rPr>
                <w:rFonts w:ascii="Calibri" w:hAnsi="Calibri"/>
                <w:sz w:val="22"/>
              </w:rPr>
              <w:t>Retail/e-commerce ad strength positive for APP consumer vertical; AI performance marketing adoption accelerating</w:t>
            </w:r>
          </w:p>
        </w:tc>
        <w:tc>
          <w:tcPr>
            <w:tcW w:type="dxa" w:w="1728"/>
          </w:tcPr>
          <w:p>
            <w:r>
              <w:rPr>
                <w:rFonts w:ascii="Calibri" w:hAnsi="Calibri"/>
                <w:b/>
                <w:color w:val="30A46C"/>
                <w:sz w:val="22"/>
              </w:rPr>
              <w:t>Positive</w:t>
            </w:r>
          </w:p>
        </w:tc>
      </w:tr>
      <w:tr>
        <w:tc>
          <w:tcPr>
            <w:tcW w:type="dxa" w:w="1728"/>
          </w:tcPr>
          <w:p>
            <w:r>
              <w:rPr>
                <w:rFonts w:ascii="Calibri" w:hAnsi="Calibri"/>
                <w:sz w:val="22"/>
              </w:rPr>
              <w:t>SNAP</w:t>
            </w:r>
          </w:p>
        </w:tc>
        <w:tc>
          <w:tcPr>
            <w:tcW w:type="dxa" w:w="1728"/>
          </w:tcPr>
          <w:p>
            <w:r>
              <w:rPr>
                <w:rFonts w:ascii="Calibri" w:hAnsi="Calibri"/>
                <w:sz w:val="22"/>
              </w:rPr>
              <w:t>Aug 3, 2026</w:t>
            </w:r>
          </w:p>
        </w:tc>
        <w:tc>
          <w:tcPr>
            <w:tcW w:type="dxa" w:w="1728"/>
          </w:tcPr>
          <w:p>
            <w:r>
              <w:rPr>
                <w:rFonts w:ascii="Calibri" w:hAnsi="Calibri"/>
                <w:sz w:val="22"/>
              </w:rPr>
              <w:t>Ad revenue +9% YoY; conversions +56%; app purchase volume +128%</w:t>
            </w:r>
          </w:p>
        </w:tc>
        <w:tc>
          <w:tcPr>
            <w:tcW w:type="dxa" w:w="1728"/>
          </w:tcPr>
          <w:p>
            <w:r>
              <w:rPr>
                <w:rFonts w:ascii="Calibri" w:hAnsi="Calibri"/>
                <w:sz w:val="22"/>
              </w:rPr>
              <w:t>Mobile performance ad cycle is strong; app install and purchase conversion improvements positive for APP gaming/consumer</w:t>
            </w:r>
          </w:p>
        </w:tc>
        <w:tc>
          <w:tcPr>
            <w:tcW w:type="dxa" w:w="1728"/>
          </w:tcPr>
          <w:p>
            <w:r>
              <w:rPr>
                <w:rFonts w:ascii="Calibri" w:hAnsi="Calibri"/>
                <w:b/>
                <w:color w:val="30A46C"/>
                <w:sz w:val="22"/>
              </w:rPr>
              <w:t>Moderately Positive</w:t>
            </w:r>
          </w:p>
        </w:tc>
      </w:tr>
      <w:tr>
        <w:tc>
          <w:tcPr>
            <w:tcW w:type="dxa" w:w="1728"/>
          </w:tcPr>
          <w:p>
            <w:r>
              <w:rPr>
                <w:rFonts w:ascii="Calibri" w:hAnsi="Calibri"/>
                <w:sz w:val="22"/>
              </w:rPr>
              <w:t>PINS</w:t>
            </w:r>
          </w:p>
        </w:tc>
        <w:tc>
          <w:tcPr>
            <w:tcW w:type="dxa" w:w="1728"/>
          </w:tcPr>
          <w:p>
            <w:r>
              <w:rPr>
                <w:rFonts w:ascii="Calibri" w:hAnsi="Calibri"/>
                <w:sz w:val="22"/>
              </w:rPr>
              <w:t>Aug 4, 2026</w:t>
            </w:r>
          </w:p>
        </w:tc>
        <w:tc>
          <w:tcPr>
            <w:tcW w:type="dxa" w:w="1728"/>
          </w:tcPr>
          <w:p>
            <w:r>
              <w:rPr>
                <w:rFonts w:ascii="Calibri" w:hAnsi="Calibri"/>
                <w:sz w:val="22"/>
              </w:rPr>
              <w:t>Revenue +18% YoY; U.S. &amp; Canada +18%; retail spend accelerating; ROAS +28% for SMBs</w:t>
            </w:r>
          </w:p>
        </w:tc>
        <w:tc>
          <w:tcPr>
            <w:tcW w:type="dxa" w:w="1728"/>
          </w:tcPr>
          <w:p>
            <w:r>
              <w:rPr>
                <w:rFonts w:ascii="Calibri" w:hAnsi="Calibri"/>
                <w:sz w:val="22"/>
              </w:rPr>
              <w:t>Retail advertiser budget growth and AI-driven ROAS improvements positive for APP e-commerce vertical</w:t>
            </w:r>
          </w:p>
        </w:tc>
        <w:tc>
          <w:tcPr>
            <w:tcW w:type="dxa" w:w="1728"/>
          </w:tcPr>
          <w:p>
            <w:r>
              <w:rPr>
                <w:rFonts w:ascii="Calibri" w:hAnsi="Calibri"/>
                <w:b/>
                <w:color w:val="30A46C"/>
                <w:sz w:val="22"/>
              </w:rPr>
              <w:t>Moderately Positive</w:t>
            </w:r>
          </w:p>
        </w:tc>
      </w:tr>
      <w:tr>
        <w:tc>
          <w:tcPr>
            <w:tcW w:type="dxa" w:w="1728"/>
          </w:tcPr>
          <w:p>
            <w:r>
              <w:rPr>
                <w:rFonts w:ascii="Calibri" w:hAnsi="Calibri"/>
                <w:sz w:val="22"/>
              </w:rPr>
              <w:t>PUBM</w:t>
            </w:r>
          </w:p>
        </w:tc>
        <w:tc>
          <w:tcPr>
            <w:tcW w:type="dxa" w:w="1728"/>
          </w:tcPr>
          <w:p>
            <w:r>
              <w:rPr>
                <w:rFonts w:ascii="Calibri" w:hAnsi="Calibri"/>
                <w:sz w:val="22"/>
              </w:rPr>
              <w:t>Jun 3, 2026</w:t>
            </w:r>
          </w:p>
        </w:tc>
        <w:tc>
          <w:tcPr>
            <w:tcW w:type="dxa" w:w="1728"/>
          </w:tcPr>
          <w:p>
            <w:r>
              <w:rPr>
                <w:rFonts w:ascii="Calibri" w:hAnsi="Calibri"/>
                <w:sz w:val="22"/>
              </w:rPr>
              <w:t>Commerce media +80% YoY; double-digit H2 2026 growth guided</w:t>
            </w:r>
          </w:p>
        </w:tc>
        <w:tc>
          <w:tcPr>
            <w:tcW w:type="dxa" w:w="1728"/>
          </w:tcPr>
          <w:p>
            <w:r>
              <w:rPr>
                <w:rFonts w:ascii="Calibri" w:hAnsi="Calibri"/>
                <w:sz w:val="22"/>
              </w:rPr>
              <w:t>Healthy programmatic and commerce media environment; agentic AI adoption accelerating</w:t>
            </w:r>
          </w:p>
        </w:tc>
        <w:tc>
          <w:tcPr>
            <w:tcW w:type="dxa" w:w="1728"/>
          </w:tcPr>
          <w:p>
            <w:r>
              <w:rPr>
                <w:rFonts w:ascii="Calibri" w:hAnsi="Calibri"/>
                <w:b/>
                <w:color w:val="30A46C"/>
                <w:sz w:val="22"/>
              </w:rPr>
              <w:t>Neutral / Positive</w:t>
            </w:r>
          </w:p>
        </w:tc>
      </w:tr>
      <w:tr>
        <w:tc>
          <w:tcPr>
            <w:tcW w:type="dxa" w:w="1728"/>
          </w:tcPr>
          <w:p>
            <w:r>
              <w:rPr>
                <w:rFonts w:ascii="Calibri" w:hAnsi="Calibri"/>
                <w:sz w:val="22"/>
              </w:rPr>
              <w:t>MGNI</w:t>
            </w:r>
          </w:p>
        </w:tc>
        <w:tc>
          <w:tcPr>
            <w:tcW w:type="dxa" w:w="1728"/>
          </w:tcPr>
          <w:p>
            <w:r>
              <w:rPr>
                <w:rFonts w:ascii="Calibri" w:hAnsi="Calibri"/>
                <w:sz w:val="22"/>
              </w:rPr>
              <w:t>Jun 15–24, 2026</w:t>
            </w:r>
          </w:p>
        </w:tc>
        <w:tc>
          <w:tcPr>
            <w:tcW w:type="dxa" w:w="1728"/>
          </w:tcPr>
          <w:p>
            <w:r>
              <w:rPr>
                <w:rFonts w:ascii="Calibri" w:hAnsi="Calibri"/>
                <w:sz w:val="22"/>
              </w:rPr>
              <w:t>CTV &gt;50% of revenue; growing 30s%; outcome-oriented advertising theme dominant at Cannes</w:t>
            </w:r>
          </w:p>
        </w:tc>
        <w:tc>
          <w:tcPr>
            <w:tcW w:type="dxa" w:w="1728"/>
          </w:tcPr>
          <w:p>
            <w:r>
              <w:rPr>
                <w:rFonts w:ascii="Calibri" w:hAnsi="Calibri"/>
                <w:sz w:val="22"/>
              </w:rPr>
              <w:t>Long-tail advertiser onboarding thesis validated; CTV opportunity confirmed for APP’s longer-term roadmap</w:t>
            </w:r>
          </w:p>
        </w:tc>
        <w:tc>
          <w:tcPr>
            <w:tcW w:type="dxa" w:w="1728"/>
          </w:tcPr>
          <w:p>
            <w:r>
              <w:rPr>
                <w:rFonts w:ascii="Calibri" w:hAnsi="Calibri"/>
                <w:b/>
                <w:color w:val="30A46C"/>
                <w:sz w:val="22"/>
              </w:rPr>
              <w:t>Neutral / Positive</w:t>
            </w:r>
          </w:p>
        </w:tc>
      </w:tr>
    </w:tbl>
    <w:p>
      <w:r>
        <w:br w:type="page"/>
      </w:r>
    </w:p>
    <w:p>
      <w:pPr>
        <w:pStyle w:val="Heading1"/>
        <w:pBdr>
          <w:bottom w:val="single" w:sz="4" w:space="1" w:color="FB9120"/>
        </w:pBdr>
      </w:pPr>
      <w:r>
        <w:rPr>
          <w:rFonts w:ascii="Calibri" w:hAnsi="Calibri"/>
          <w:b/>
          <w:color w:val="3B4259"/>
          <w:sz w:val="40"/>
        </w:rPr>
        <w:t>8. Insider Transaction Activity</w:t>
      </w:r>
    </w:p>
    <w:p>
      <w:r>
        <w:rPr>
          <w:rFonts w:ascii="Calibri" w:hAnsi="Calibri"/>
          <w:b/>
          <w:color w:val="525866"/>
          <w:sz w:val="22"/>
        </w:rPr>
        <w:t xml:space="preserve">Key Takeaway: </w:t>
      </w:r>
      <w:r>
        <w:rPr>
          <w:rFonts w:ascii="Calibri" w:hAnsi="Calibri"/>
          <w:color w:val="525866"/>
          <w:sz w:val="22"/>
        </w:rPr>
        <w:t>Insider activity since the Q1 print is dominated by 10b5-1 planned sales from the CEO and CTO — pre-scheduled and not discretionary signals. The most notable item is CEO Foroughi’s cluster of sales in early June (around the platform opening), though all are flagged as non-10b5-1 plan sales, which warrants monitoring. No open-market buys have been filed.</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Messing Barbara</w:t>
            </w:r>
          </w:p>
        </w:tc>
        <w:tc>
          <w:tcPr>
            <w:tcW w:type="dxa" w:w="1440"/>
          </w:tcPr>
          <w:p>
            <w:r>
              <w:rPr>
                <w:rFonts w:ascii="Calibri" w:hAnsi="Calibri"/>
                <w:sz w:val="22"/>
              </w:rPr>
              <w:t>Director</w:t>
            </w:r>
          </w:p>
        </w:tc>
        <w:tc>
          <w:tcPr>
            <w:tcW w:type="dxa" w:w="1440"/>
          </w:tcPr>
          <w:p>
            <w:r>
              <w:rPr>
                <w:rFonts w:ascii="Calibri" w:hAnsi="Calibri"/>
                <w:sz w:val="22"/>
              </w:rPr>
              <w:t>Award (A)</w:t>
            </w:r>
          </w:p>
        </w:tc>
        <w:tc>
          <w:tcPr>
            <w:tcW w:type="dxa" w:w="1440"/>
          </w:tcPr>
          <w:p>
            <w:r>
              <w:rPr>
                <w:rFonts w:ascii="Calibri" w:hAnsi="Calibri"/>
                <w:sz w:val="22"/>
              </w:rPr>
              <w:t>40 shares</w:t>
            </w:r>
          </w:p>
        </w:tc>
        <w:tc>
          <w:tcPr>
            <w:tcW w:type="dxa" w:w="1440"/>
          </w:tcPr>
          <w:p>
            <w:r>
              <w:rPr>
                <w:rFonts w:ascii="Calibri" w:hAnsi="Calibri"/>
                <w:sz w:val="22"/>
              </w:rPr>
              <w:t>Jul 15, 2026</w:t>
            </w:r>
          </w:p>
        </w:tc>
        <w:tc>
          <w:tcPr>
            <w:tcW w:type="dxa" w:w="1440"/>
          </w:tcPr>
          <w:p>
            <w:r>
              <w:rPr>
                <w:rFonts w:ascii="Calibri" w:hAnsi="Calibri"/>
                <w:sz w:val="22"/>
              </w:rPr>
              <w:t>Routine director equity award; not a market transaction.</w:t>
            </w:r>
          </w:p>
        </w:tc>
      </w:tr>
      <w:tr>
        <w:tc>
          <w:tcPr>
            <w:tcW w:type="dxa" w:w="1440"/>
          </w:tcPr>
          <w:p>
            <w:r>
              <w:rPr>
                <w:rFonts w:ascii="Calibri" w:hAnsi="Calibri"/>
                <w:sz w:val="22"/>
              </w:rPr>
              <w:t>Webb Maynard G Jr</w:t>
            </w:r>
          </w:p>
        </w:tc>
        <w:tc>
          <w:tcPr>
            <w:tcW w:type="dxa" w:w="1440"/>
          </w:tcPr>
          <w:p>
            <w:r>
              <w:rPr>
                <w:rFonts w:ascii="Calibri" w:hAnsi="Calibri"/>
                <w:sz w:val="22"/>
              </w:rPr>
              <w:t>Director</w:t>
            </w:r>
          </w:p>
        </w:tc>
        <w:tc>
          <w:tcPr>
            <w:tcW w:type="dxa" w:w="1440"/>
          </w:tcPr>
          <w:p>
            <w:r>
              <w:rPr>
                <w:rFonts w:ascii="Calibri" w:hAnsi="Calibri"/>
                <w:sz w:val="22"/>
              </w:rPr>
              <w:t>Award (A)</w:t>
            </w:r>
          </w:p>
        </w:tc>
        <w:tc>
          <w:tcPr>
            <w:tcW w:type="dxa" w:w="1440"/>
          </w:tcPr>
          <w:p>
            <w:r>
              <w:rPr>
                <w:rFonts w:ascii="Calibri" w:hAnsi="Calibri"/>
                <w:sz w:val="22"/>
              </w:rPr>
              <w:t>41 shares</w:t>
            </w:r>
          </w:p>
        </w:tc>
        <w:tc>
          <w:tcPr>
            <w:tcW w:type="dxa" w:w="1440"/>
          </w:tcPr>
          <w:p>
            <w:r>
              <w:rPr>
                <w:rFonts w:ascii="Calibri" w:hAnsi="Calibri"/>
                <w:sz w:val="22"/>
              </w:rPr>
              <w:t>Jul 15, 2026</w:t>
            </w:r>
          </w:p>
        </w:tc>
        <w:tc>
          <w:tcPr>
            <w:tcW w:type="dxa" w:w="1440"/>
          </w:tcPr>
          <w:p>
            <w:r>
              <w:rPr>
                <w:rFonts w:ascii="Calibri" w:hAnsi="Calibri"/>
                <w:sz w:val="22"/>
              </w:rPr>
              <w:t>Routine director equity award; not a market transaction.</w:t>
            </w:r>
          </w:p>
        </w:tc>
      </w:tr>
      <w:tr>
        <w:tc>
          <w:tcPr>
            <w:tcW w:type="dxa" w:w="1440"/>
          </w:tcPr>
          <w:p>
            <w:r>
              <w:rPr>
                <w:rFonts w:ascii="Calibri" w:hAnsi="Calibri"/>
                <w:sz w:val="22"/>
              </w:rPr>
              <w:t>Webb Maynard G Jr</w:t>
            </w:r>
          </w:p>
        </w:tc>
        <w:tc>
          <w:tcPr>
            <w:tcW w:type="dxa" w:w="1440"/>
          </w:tcPr>
          <w:p>
            <w:r>
              <w:rPr>
                <w:rFonts w:ascii="Calibri" w:hAnsi="Calibri"/>
                <w:sz w:val="22"/>
              </w:rPr>
              <w:t>Director</w:t>
            </w:r>
          </w:p>
        </w:tc>
        <w:tc>
          <w:tcPr>
            <w:tcW w:type="dxa" w:w="1440"/>
          </w:tcPr>
          <w:p>
            <w:r>
              <w:rPr>
                <w:rFonts w:ascii="Calibri" w:hAnsi="Calibri"/>
                <w:sz w:val="22"/>
              </w:rPr>
              <w:t>10b5-1 Planned Sale</w:t>
            </w:r>
          </w:p>
        </w:tc>
        <w:tc>
          <w:tcPr>
            <w:tcW w:type="dxa" w:w="1440"/>
          </w:tcPr>
          <w:p>
            <w:r>
              <w:rPr>
                <w:rFonts w:ascii="Calibri" w:hAnsi="Calibri"/>
                <w:sz w:val="22"/>
              </w:rPr>
              <w:t>3,076 shares</w:t>
            </w:r>
          </w:p>
        </w:tc>
        <w:tc>
          <w:tcPr>
            <w:tcW w:type="dxa" w:w="1440"/>
          </w:tcPr>
          <w:p>
            <w:r>
              <w:rPr>
                <w:rFonts w:ascii="Calibri" w:hAnsi="Calibri"/>
                <w:sz w:val="22"/>
              </w:rPr>
              <w:t>Jul 6, 2026</w:t>
            </w:r>
          </w:p>
        </w:tc>
        <w:tc>
          <w:tcPr>
            <w:tcW w:type="dxa" w:w="1440"/>
          </w:tcPr>
          <w:p>
            <w:r>
              <w:rPr>
                <w:rFonts w:ascii="Calibri" w:hAnsi="Calibri"/>
                <w:sz w:val="22"/>
              </w:rPr>
              <w:t>Pre-scheduled 10b5-1 plan sale; obligation-driven, not discretionary.</w:t>
            </w:r>
          </w:p>
        </w:tc>
      </w:tr>
      <w:tr>
        <w:tc>
          <w:tcPr>
            <w:tcW w:type="dxa" w:w="1440"/>
          </w:tcPr>
          <w:p>
            <w:r>
              <w:rPr>
                <w:rFonts w:ascii="Calibri" w:hAnsi="Calibri"/>
                <w:sz w:val="22"/>
              </w:rPr>
              <w:t>Vivas Eduardo</w:t>
            </w:r>
          </w:p>
        </w:tc>
        <w:tc>
          <w:tcPr>
            <w:tcW w:type="dxa" w:w="1440"/>
          </w:tcPr>
          <w:p>
            <w:r>
              <w:rPr>
                <w:rFonts w:ascii="Calibri" w:hAnsi="Calibri"/>
                <w:sz w:val="22"/>
              </w:rPr>
              <w:t>Director</w:t>
            </w:r>
          </w:p>
        </w:tc>
        <w:tc>
          <w:tcPr>
            <w:tcW w:type="dxa" w:w="1440"/>
          </w:tcPr>
          <w:p>
            <w:r>
              <w:rPr>
                <w:rFonts w:ascii="Calibri" w:hAnsi="Calibri"/>
                <w:sz w:val="22"/>
              </w:rPr>
              <w:t>10b5-1 Planned Sale</w:t>
            </w:r>
          </w:p>
        </w:tc>
        <w:tc>
          <w:tcPr>
            <w:tcW w:type="dxa" w:w="1440"/>
          </w:tcPr>
          <w:p>
            <w:r>
              <w:rPr>
                <w:rFonts w:ascii="Calibri" w:hAnsi="Calibri"/>
                <w:sz w:val="22"/>
              </w:rPr>
              <w:t>163,910 shares</w:t>
            </w:r>
          </w:p>
        </w:tc>
        <w:tc>
          <w:tcPr>
            <w:tcW w:type="dxa" w:w="1440"/>
          </w:tcPr>
          <w:p>
            <w:r>
              <w:rPr>
                <w:rFonts w:ascii="Calibri" w:hAnsi="Calibri"/>
                <w:sz w:val="22"/>
              </w:rPr>
              <w:t>Jun 16, 2026</w:t>
            </w:r>
          </w:p>
        </w:tc>
        <w:tc>
          <w:tcPr>
            <w:tcW w:type="dxa" w:w="1440"/>
          </w:tcPr>
          <w:p>
            <w:r>
              <w:rPr>
                <w:rFonts w:ascii="Calibri" w:hAnsi="Calibri"/>
                <w:sz w:val="22"/>
              </w:rPr>
              <w:t>Large sale by director; flagged as 10b5-1 plan. Pre-scheduled.</w:t>
            </w:r>
          </w:p>
        </w:tc>
      </w:tr>
      <w:tr>
        <w:tc>
          <w:tcPr>
            <w:tcW w:type="dxa" w:w="1440"/>
          </w:tcPr>
          <w:p>
            <w:r>
              <w:rPr>
                <w:rFonts w:ascii="Calibri" w:hAnsi="Calibri"/>
                <w:sz w:val="22"/>
              </w:rPr>
              <w:t>Foroughi Arash Adam</w:t>
            </w:r>
          </w:p>
        </w:tc>
        <w:tc>
          <w:tcPr>
            <w:tcW w:type="dxa" w:w="1440"/>
          </w:tcPr>
          <w:p>
            <w:r>
              <w:rPr>
                <w:rFonts w:ascii="Calibri" w:hAnsi="Calibri"/>
                <w:sz w:val="22"/>
              </w:rPr>
              <w:t>CEO, 10% Owner, Director</w:t>
            </w:r>
          </w:p>
        </w:tc>
        <w:tc>
          <w:tcPr>
            <w:tcW w:type="dxa" w:w="1440"/>
          </w:tcPr>
          <w:p>
            <w:r>
              <w:rPr>
                <w:rFonts w:ascii="Calibri" w:hAnsi="Calibri"/>
                <w:sz w:val="22"/>
              </w:rPr>
              <w:t>Open Market Sale</w:t>
            </w:r>
          </w:p>
        </w:tc>
        <w:tc>
          <w:tcPr>
            <w:tcW w:type="dxa" w:w="1440"/>
          </w:tcPr>
          <w:p>
            <w:r>
              <w:rPr>
                <w:rFonts w:ascii="Calibri" w:hAnsi="Calibri"/>
                <w:sz w:val="22"/>
              </w:rPr>
              <w:t>8,624 shares</w:t>
            </w:r>
          </w:p>
        </w:tc>
        <w:tc>
          <w:tcPr>
            <w:tcW w:type="dxa" w:w="1440"/>
          </w:tcPr>
          <w:p>
            <w:r>
              <w:rPr>
                <w:rFonts w:ascii="Calibri" w:hAnsi="Calibri"/>
                <w:sz w:val="22"/>
              </w:rPr>
              <w:t>Jun 11, 2026</w:t>
            </w:r>
          </w:p>
        </w:tc>
        <w:tc>
          <w:tcPr>
            <w:tcW w:type="dxa" w:w="1440"/>
          </w:tcPr>
          <w:p>
            <w:r>
              <w:rPr>
                <w:rFonts w:ascii="Calibri" w:hAnsi="Calibri"/>
                <w:sz w:val="22"/>
              </w:rPr>
              <w:t>Not flagged as 10b5-1 plan. Discretionary sale by CEO around platform opening. Monitor.</w:t>
            </w:r>
          </w:p>
        </w:tc>
      </w:tr>
      <w:tr>
        <w:tc>
          <w:tcPr>
            <w:tcW w:type="dxa" w:w="1440"/>
          </w:tcPr>
          <w:p>
            <w:r>
              <w:rPr>
                <w:rFonts w:ascii="Calibri" w:hAnsi="Calibri"/>
                <w:sz w:val="22"/>
              </w:rPr>
              <w:t>Foroughi Arash Adam</w:t>
            </w:r>
          </w:p>
        </w:tc>
        <w:tc>
          <w:tcPr>
            <w:tcW w:type="dxa" w:w="1440"/>
          </w:tcPr>
          <w:p>
            <w:r>
              <w:rPr>
                <w:rFonts w:ascii="Calibri" w:hAnsi="Calibri"/>
                <w:sz w:val="22"/>
              </w:rPr>
              <w:t>CEO, 10% Owner, Director</w:t>
            </w:r>
          </w:p>
        </w:tc>
        <w:tc>
          <w:tcPr>
            <w:tcW w:type="dxa" w:w="1440"/>
          </w:tcPr>
          <w:p>
            <w:r>
              <w:rPr>
                <w:rFonts w:ascii="Calibri" w:hAnsi="Calibri"/>
                <w:sz w:val="22"/>
              </w:rPr>
              <w:t>Open Market Sale (Indirect)</w:t>
            </w:r>
          </w:p>
        </w:tc>
        <w:tc>
          <w:tcPr>
            <w:tcW w:type="dxa" w:w="1440"/>
          </w:tcPr>
          <w:p>
            <w:r>
              <w:rPr>
                <w:rFonts w:ascii="Calibri" w:hAnsi="Calibri"/>
                <w:sz w:val="22"/>
              </w:rPr>
              <w:t>20,833 shares</w:t>
            </w:r>
          </w:p>
        </w:tc>
        <w:tc>
          <w:tcPr>
            <w:tcW w:type="dxa" w:w="1440"/>
          </w:tcPr>
          <w:p>
            <w:r>
              <w:rPr>
                <w:rFonts w:ascii="Calibri" w:hAnsi="Calibri"/>
                <w:sz w:val="22"/>
              </w:rPr>
              <w:t>Jun 10, 2026</w:t>
            </w:r>
          </w:p>
        </w:tc>
        <w:tc>
          <w:tcPr>
            <w:tcW w:type="dxa" w:w="1440"/>
          </w:tcPr>
          <w:p>
            <w:r>
              <w:rPr>
                <w:rFonts w:ascii="Calibri" w:hAnsi="Calibri"/>
                <w:sz w:val="22"/>
              </w:rPr>
              <w:t>Indirect holding sale; not flagged as 10b5-1 plan.</w:t>
            </w:r>
          </w:p>
        </w:tc>
      </w:tr>
      <w:tr>
        <w:tc>
          <w:tcPr>
            <w:tcW w:type="dxa" w:w="1440"/>
          </w:tcPr>
          <w:p>
            <w:r>
              <w:rPr>
                <w:rFonts w:ascii="Calibri" w:hAnsi="Calibri"/>
                <w:sz w:val="22"/>
              </w:rPr>
              <w:t>Foroughi Arash Adam</w:t>
            </w:r>
          </w:p>
        </w:tc>
        <w:tc>
          <w:tcPr>
            <w:tcW w:type="dxa" w:w="1440"/>
          </w:tcPr>
          <w:p>
            <w:r>
              <w:rPr>
                <w:rFonts w:ascii="Calibri" w:hAnsi="Calibri"/>
                <w:sz w:val="22"/>
              </w:rPr>
              <w:t>CEO, 10% Owner, Director</w:t>
            </w:r>
          </w:p>
        </w:tc>
        <w:tc>
          <w:tcPr>
            <w:tcW w:type="dxa" w:w="1440"/>
          </w:tcPr>
          <w:p>
            <w:r>
              <w:rPr>
                <w:rFonts w:ascii="Calibri" w:hAnsi="Calibri"/>
                <w:sz w:val="22"/>
              </w:rPr>
              <w:t>Open Market Sale</w:t>
            </w:r>
          </w:p>
        </w:tc>
        <w:tc>
          <w:tcPr>
            <w:tcW w:type="dxa" w:w="1440"/>
          </w:tcPr>
          <w:p>
            <w:r>
              <w:rPr>
                <w:rFonts w:ascii="Calibri" w:hAnsi="Calibri"/>
                <w:sz w:val="22"/>
              </w:rPr>
              <w:t>22,544 shares</w:t>
            </w:r>
          </w:p>
        </w:tc>
        <w:tc>
          <w:tcPr>
            <w:tcW w:type="dxa" w:w="1440"/>
          </w:tcPr>
          <w:p>
            <w:r>
              <w:rPr>
                <w:rFonts w:ascii="Calibri" w:hAnsi="Calibri"/>
                <w:sz w:val="22"/>
              </w:rPr>
              <w:t>Jun 12, 2026</w:t>
            </w:r>
          </w:p>
        </w:tc>
        <w:tc>
          <w:tcPr>
            <w:tcW w:type="dxa" w:w="1440"/>
          </w:tcPr>
          <w:p>
            <w:r>
              <w:rPr>
                <w:rFonts w:ascii="Calibri" w:hAnsi="Calibri"/>
                <w:sz w:val="22"/>
              </w:rPr>
              <w:t>Not flagged as 10b5-1 plan. Cluster of CEO sales Jun 10–12 totaling ~51K shares. Discretionary.</w:t>
            </w:r>
          </w:p>
        </w:tc>
      </w:tr>
      <w:tr>
        <w:tc>
          <w:tcPr>
            <w:tcW w:type="dxa" w:w="1440"/>
          </w:tcPr>
          <w:p>
            <w:r>
              <w:rPr>
                <w:rFonts w:ascii="Calibri" w:hAnsi="Calibri"/>
                <w:sz w:val="22"/>
              </w:rPr>
              <w:t>Foroughi Arash Adam</w:t>
            </w:r>
          </w:p>
        </w:tc>
        <w:tc>
          <w:tcPr>
            <w:tcW w:type="dxa" w:w="1440"/>
          </w:tcPr>
          <w:p>
            <w:r>
              <w:rPr>
                <w:rFonts w:ascii="Calibri" w:hAnsi="Calibri"/>
                <w:sz w:val="22"/>
              </w:rPr>
              <w:t>CEO, 10% Owner, Director</w:t>
            </w:r>
          </w:p>
        </w:tc>
        <w:tc>
          <w:tcPr>
            <w:tcW w:type="dxa" w:w="1440"/>
          </w:tcPr>
          <w:p>
            <w:r>
              <w:rPr>
                <w:rFonts w:ascii="Calibri" w:hAnsi="Calibri"/>
                <w:sz w:val="22"/>
              </w:rPr>
              <w:t>Open Market Sale</w:t>
            </w:r>
          </w:p>
        </w:tc>
        <w:tc>
          <w:tcPr>
            <w:tcW w:type="dxa" w:w="1440"/>
          </w:tcPr>
          <w:p>
            <w:r>
              <w:rPr>
                <w:rFonts w:ascii="Calibri" w:hAnsi="Calibri"/>
                <w:sz w:val="22"/>
              </w:rPr>
              <w:t>19,123 shares</w:t>
            </w:r>
          </w:p>
        </w:tc>
        <w:tc>
          <w:tcPr>
            <w:tcW w:type="dxa" w:w="1440"/>
          </w:tcPr>
          <w:p>
            <w:r>
              <w:rPr>
                <w:rFonts w:ascii="Calibri" w:hAnsi="Calibri"/>
                <w:sz w:val="22"/>
              </w:rPr>
              <w:t>Jun 12, 2026</w:t>
            </w:r>
          </w:p>
        </w:tc>
        <w:tc>
          <w:tcPr>
            <w:tcW w:type="dxa" w:w="1440"/>
          </w:tcPr>
          <w:p>
            <w:r>
              <w:rPr>
                <w:rFonts w:ascii="Calibri" w:hAnsi="Calibri"/>
                <w:sz w:val="22"/>
              </w:rPr>
              <w:t>Not flagged as 10b5-1 plan. Part of Jun 10–12 cluster.</w:t>
            </w:r>
          </w:p>
        </w:tc>
      </w:tr>
      <w:tr>
        <w:tc>
          <w:tcPr>
            <w:tcW w:type="dxa" w:w="1440"/>
          </w:tcPr>
          <w:p>
            <w:r>
              <w:rPr>
                <w:rFonts w:ascii="Calibri" w:hAnsi="Calibri"/>
                <w:sz w:val="22"/>
              </w:rPr>
              <w:t>Foroughi Arash Adam</w:t>
            </w:r>
          </w:p>
        </w:tc>
        <w:tc>
          <w:tcPr>
            <w:tcW w:type="dxa" w:w="1440"/>
          </w:tcPr>
          <w:p>
            <w:r>
              <w:rPr>
                <w:rFonts w:ascii="Calibri" w:hAnsi="Calibri"/>
                <w:sz w:val="22"/>
              </w:rPr>
              <w:t>CEO, 10% Owner, Director</w:t>
            </w:r>
          </w:p>
        </w:tc>
        <w:tc>
          <w:tcPr>
            <w:tcW w:type="dxa" w:w="1440"/>
          </w:tcPr>
          <w:p>
            <w:r>
              <w:rPr>
                <w:rFonts w:ascii="Calibri" w:hAnsi="Calibri"/>
                <w:sz w:val="22"/>
              </w:rPr>
              <w:t>Open Market Sale</w:t>
            </w:r>
          </w:p>
        </w:tc>
        <w:tc>
          <w:tcPr>
            <w:tcW w:type="dxa" w:w="1440"/>
          </w:tcPr>
          <w:p>
            <w:r>
              <w:rPr>
                <w:rFonts w:ascii="Calibri" w:hAnsi="Calibri"/>
                <w:sz w:val="22"/>
              </w:rPr>
              <w:t>33,042 shares</w:t>
            </w:r>
          </w:p>
        </w:tc>
        <w:tc>
          <w:tcPr>
            <w:tcW w:type="dxa" w:w="1440"/>
          </w:tcPr>
          <w:p>
            <w:r>
              <w:rPr>
                <w:rFonts w:ascii="Calibri" w:hAnsi="Calibri"/>
                <w:sz w:val="22"/>
              </w:rPr>
              <w:t>Jun 11, 2026</w:t>
            </w:r>
          </w:p>
        </w:tc>
        <w:tc>
          <w:tcPr>
            <w:tcW w:type="dxa" w:w="1440"/>
          </w:tcPr>
          <w:p>
            <w:r>
              <w:rPr>
                <w:rFonts w:ascii="Calibri" w:hAnsi="Calibri"/>
                <w:sz w:val="22"/>
              </w:rPr>
              <w:t>Not flagged as 10b5-1 plan. Part of Jun 10–12 cluster.</w:t>
            </w:r>
          </w:p>
        </w:tc>
      </w:tr>
      <w:tr>
        <w:tc>
          <w:tcPr>
            <w:tcW w:type="dxa" w:w="1440"/>
          </w:tcPr>
          <w:p>
            <w:r>
              <w:rPr>
                <w:rFonts w:ascii="Calibri" w:hAnsi="Calibri"/>
                <w:sz w:val="22"/>
              </w:rPr>
              <w:t>Multiple Directors (6)</w:t>
            </w:r>
          </w:p>
        </w:tc>
        <w:tc>
          <w:tcPr>
            <w:tcW w:type="dxa" w:w="1440"/>
          </w:tcPr>
          <w:p>
            <w:r>
              <w:rPr>
                <w:rFonts w:ascii="Calibri" w:hAnsi="Calibri"/>
                <w:sz w:val="22"/>
              </w:rPr>
              <w:t>Board Directors</w:t>
            </w:r>
          </w:p>
        </w:tc>
        <w:tc>
          <w:tcPr>
            <w:tcW w:type="dxa" w:w="1440"/>
          </w:tcPr>
          <w:p>
            <w:r>
              <w:rPr>
                <w:rFonts w:ascii="Calibri" w:hAnsi="Calibri"/>
                <w:sz w:val="22"/>
              </w:rPr>
              <w:t>Award (A)</w:t>
            </w:r>
          </w:p>
        </w:tc>
        <w:tc>
          <w:tcPr>
            <w:tcW w:type="dxa" w:w="1440"/>
          </w:tcPr>
          <w:p>
            <w:r>
              <w:rPr>
                <w:rFonts w:ascii="Calibri" w:hAnsi="Calibri"/>
                <w:sz w:val="22"/>
              </w:rPr>
              <w:t>525 shares each</w:t>
            </w:r>
          </w:p>
        </w:tc>
        <w:tc>
          <w:tcPr>
            <w:tcW w:type="dxa" w:w="1440"/>
          </w:tcPr>
          <w:p>
            <w:r>
              <w:rPr>
                <w:rFonts w:ascii="Calibri" w:hAnsi="Calibri"/>
                <w:sz w:val="22"/>
              </w:rPr>
              <w:t>Jun 3, 2026</w:t>
            </w:r>
          </w:p>
        </w:tc>
        <w:tc>
          <w:tcPr>
            <w:tcW w:type="dxa" w:w="1440"/>
          </w:tcPr>
          <w:p>
            <w:r>
              <w:rPr>
                <w:rFonts w:ascii="Calibri" w:hAnsi="Calibri"/>
                <w:sz w:val="22"/>
              </w:rPr>
              <w:t>Routine annual director equity awards to Billings, Chen, Georgiadis, Messing, Morgenfeld, Vivas, Webb. Not market transactions.</w:t>
            </w:r>
          </w:p>
        </w:tc>
      </w:tr>
      <w:tr>
        <w:tc>
          <w:tcPr>
            <w:tcW w:type="dxa" w:w="1440"/>
          </w:tcPr>
          <w:p>
            <w:r>
              <w:rPr>
                <w:rFonts w:ascii="Calibri" w:hAnsi="Calibri"/>
                <w:sz w:val="22"/>
              </w:rPr>
              <w:t>Webb Maynard G Jr</w:t>
            </w:r>
          </w:p>
        </w:tc>
        <w:tc>
          <w:tcPr>
            <w:tcW w:type="dxa" w:w="1440"/>
          </w:tcPr>
          <w:p>
            <w:r>
              <w:rPr>
                <w:rFonts w:ascii="Calibri" w:hAnsi="Calibri"/>
                <w:sz w:val="22"/>
              </w:rPr>
              <w:t>Director</w:t>
            </w:r>
          </w:p>
        </w:tc>
        <w:tc>
          <w:tcPr>
            <w:tcW w:type="dxa" w:w="1440"/>
          </w:tcPr>
          <w:p>
            <w:r>
              <w:rPr>
                <w:rFonts w:ascii="Calibri" w:hAnsi="Calibri"/>
                <w:sz w:val="22"/>
              </w:rPr>
              <w:t>10b5-1 Planned Sale</w:t>
            </w:r>
          </w:p>
        </w:tc>
        <w:tc>
          <w:tcPr>
            <w:tcW w:type="dxa" w:w="1440"/>
          </w:tcPr>
          <w:p>
            <w:r>
              <w:rPr>
                <w:rFonts w:ascii="Calibri" w:hAnsi="Calibri"/>
                <w:sz w:val="22"/>
              </w:rPr>
              <w:t>3,076 shares</w:t>
            </w:r>
          </w:p>
        </w:tc>
        <w:tc>
          <w:tcPr>
            <w:tcW w:type="dxa" w:w="1440"/>
          </w:tcPr>
          <w:p>
            <w:r>
              <w:rPr>
                <w:rFonts w:ascii="Calibri" w:hAnsi="Calibri"/>
                <w:sz w:val="22"/>
              </w:rPr>
              <w:t>Jun 5, 2026</w:t>
            </w:r>
          </w:p>
        </w:tc>
        <w:tc>
          <w:tcPr>
            <w:tcW w:type="dxa" w:w="1440"/>
          </w:tcPr>
          <w:p>
            <w:r>
              <w:rPr>
                <w:rFonts w:ascii="Calibri" w:hAnsi="Calibri"/>
                <w:sz w:val="22"/>
              </w:rPr>
              <w:t>Pre-scheduled 10b5-1 plan sale; obligation-driven.</w:t>
            </w:r>
          </w:p>
        </w:tc>
      </w:tr>
      <w:tr>
        <w:tc>
          <w:tcPr>
            <w:tcW w:type="dxa" w:w="1440"/>
          </w:tcPr>
          <w:p>
            <w:r>
              <w:rPr>
                <w:rFonts w:ascii="Calibri" w:hAnsi="Calibri"/>
                <w:sz w:val="22"/>
              </w:rPr>
              <w:t>Stumpf Matthew</w:t>
            </w:r>
          </w:p>
        </w:tc>
        <w:tc>
          <w:tcPr>
            <w:tcW w:type="dxa" w:w="1440"/>
          </w:tcPr>
          <w:p>
            <w:r>
              <w:rPr>
                <w:rFonts w:ascii="Calibri" w:hAnsi="Calibri"/>
                <w:sz w:val="22"/>
              </w:rPr>
              <w:t>CFO</w:t>
            </w:r>
          </w:p>
        </w:tc>
        <w:tc>
          <w:tcPr>
            <w:tcW w:type="dxa" w:w="1440"/>
          </w:tcPr>
          <w:p>
            <w:r>
              <w:rPr>
                <w:rFonts w:ascii="Calibri" w:hAnsi="Calibri"/>
                <w:sz w:val="22"/>
              </w:rPr>
              <w:t>10b5-1 Planned Sale</w:t>
            </w:r>
          </w:p>
        </w:tc>
        <w:tc>
          <w:tcPr>
            <w:tcW w:type="dxa" w:w="1440"/>
          </w:tcPr>
          <w:p>
            <w:r>
              <w:rPr>
                <w:rFonts w:ascii="Calibri" w:hAnsi="Calibri"/>
                <w:sz w:val="22"/>
              </w:rPr>
              <w:t>9,052 shares</w:t>
            </w:r>
          </w:p>
        </w:tc>
        <w:tc>
          <w:tcPr>
            <w:tcW w:type="dxa" w:w="1440"/>
          </w:tcPr>
          <w:p>
            <w:r>
              <w:rPr>
                <w:rFonts w:ascii="Calibri" w:hAnsi="Calibri"/>
                <w:sz w:val="22"/>
              </w:rPr>
              <w:t>May 28, 2026</w:t>
            </w:r>
          </w:p>
        </w:tc>
        <w:tc>
          <w:tcPr>
            <w:tcW w:type="dxa" w:w="1440"/>
          </w:tcPr>
          <w:p>
            <w:r>
              <w:rPr>
                <w:rFonts w:ascii="Calibri" w:hAnsi="Calibri"/>
                <w:sz w:val="22"/>
              </w:rPr>
              <w:t>Pre-scheduled 10b5-1 plan sale by CFO; obligation-driven.</w:t>
            </w:r>
          </w:p>
        </w:tc>
      </w:tr>
      <w:tr>
        <w:tc>
          <w:tcPr>
            <w:tcW w:type="dxa" w:w="1440"/>
          </w:tcPr>
          <w:p>
            <w:r>
              <w:rPr>
                <w:rFonts w:ascii="Calibri" w:hAnsi="Calibri"/>
                <w:sz w:val="22"/>
              </w:rPr>
              <w:t>Shikin Vasily</w:t>
            </w:r>
          </w:p>
        </w:tc>
        <w:tc>
          <w:tcPr>
            <w:tcW w:type="dxa" w:w="1440"/>
          </w:tcPr>
          <w:p>
            <w:r>
              <w:rPr>
                <w:rFonts w:ascii="Calibri" w:hAnsi="Calibri"/>
                <w:sz w:val="22"/>
              </w:rPr>
              <w:t>CTO</w:t>
            </w:r>
          </w:p>
        </w:tc>
        <w:tc>
          <w:tcPr>
            <w:tcW w:type="dxa" w:w="1440"/>
          </w:tcPr>
          <w:p>
            <w:r>
              <w:rPr>
                <w:rFonts w:ascii="Calibri" w:hAnsi="Calibri"/>
                <w:sz w:val="22"/>
              </w:rPr>
              <w:t>10b5-1 Planned Sale</w:t>
            </w:r>
          </w:p>
        </w:tc>
        <w:tc>
          <w:tcPr>
            <w:tcW w:type="dxa" w:w="1440"/>
          </w:tcPr>
          <w:p>
            <w:r>
              <w:rPr>
                <w:rFonts w:ascii="Calibri" w:hAnsi="Calibri"/>
                <w:sz w:val="22"/>
              </w:rPr>
              <w:t>~81,608 shares (combined)</w:t>
            </w:r>
          </w:p>
        </w:tc>
        <w:tc>
          <w:tcPr>
            <w:tcW w:type="dxa" w:w="1440"/>
          </w:tcPr>
          <w:p>
            <w:r>
              <w:rPr>
                <w:rFonts w:ascii="Calibri" w:hAnsi="Calibri"/>
                <w:sz w:val="22"/>
              </w:rPr>
              <w:t>May 22, 2026</w:t>
            </w:r>
          </w:p>
        </w:tc>
        <w:tc>
          <w:tcPr>
            <w:tcW w:type="dxa" w:w="1440"/>
          </w:tcPr>
          <w:p>
            <w:r>
              <w:rPr>
                <w:rFonts w:ascii="Calibri" w:hAnsi="Calibri"/>
                <w:sz w:val="22"/>
              </w:rPr>
              <w:t>Large 10b5-1 plan sale by CTO across direct and indirect holdings; pre-scheduled.</w:t>
            </w:r>
          </w:p>
        </w:tc>
      </w:tr>
      <w:tr>
        <w:tc>
          <w:tcPr>
            <w:tcW w:type="dxa" w:w="1440"/>
          </w:tcPr>
          <w:p>
            <w:r>
              <w:rPr>
                <w:rFonts w:ascii="Calibri" w:hAnsi="Calibri"/>
                <w:sz w:val="22"/>
              </w:rPr>
              <w:t>Foroughi Arash Adam</w:t>
            </w:r>
          </w:p>
        </w:tc>
        <w:tc>
          <w:tcPr>
            <w:tcW w:type="dxa" w:w="1440"/>
          </w:tcPr>
          <w:p>
            <w:r>
              <w:rPr>
                <w:rFonts w:ascii="Calibri" w:hAnsi="Calibri"/>
                <w:sz w:val="22"/>
              </w:rPr>
              <w:t>CEO</w:t>
            </w:r>
          </w:p>
        </w:tc>
        <w:tc>
          <w:tcPr>
            <w:tcW w:type="dxa" w:w="1440"/>
          </w:tcPr>
          <w:p>
            <w:r>
              <w:rPr>
                <w:rFonts w:ascii="Calibri" w:hAnsi="Calibri"/>
                <w:sz w:val="22"/>
              </w:rPr>
              <w:t>Tax Withholding (F)</w:t>
            </w:r>
          </w:p>
        </w:tc>
        <w:tc>
          <w:tcPr>
            <w:tcW w:type="dxa" w:w="1440"/>
          </w:tcPr>
          <w:p>
            <w:r>
              <w:rPr>
                <w:rFonts w:ascii="Calibri" w:hAnsi="Calibri"/>
                <w:sz w:val="22"/>
              </w:rPr>
              <w:t>2,730 shares</w:t>
            </w:r>
          </w:p>
        </w:tc>
        <w:tc>
          <w:tcPr>
            <w:tcW w:type="dxa" w:w="1440"/>
          </w:tcPr>
          <w:p>
            <w:r>
              <w:rPr>
                <w:rFonts w:ascii="Calibri" w:hAnsi="Calibri"/>
                <w:sz w:val="22"/>
              </w:rPr>
              <w:t>May 20, 2026</w:t>
            </w:r>
          </w:p>
        </w:tc>
        <w:tc>
          <w:tcPr>
            <w:tcW w:type="dxa" w:w="1440"/>
          </w:tcPr>
          <w:p>
            <w:r>
              <w:rPr>
                <w:rFonts w:ascii="Calibri" w:hAnsi="Calibri"/>
                <w:sz w:val="22"/>
              </w:rPr>
              <w:t>Shares withheld for tax obligation on vesting; not a discretionary sale.</w:t>
            </w:r>
          </w:p>
        </w:tc>
      </w:tr>
    </w:tbl>
    <w:p>
      <w:r>
        <w:rPr>
          <w:rFonts w:ascii="Calibri" w:hAnsi="Calibri"/>
          <w:b/>
          <w:color w:val="525866"/>
          <w:sz w:val="22"/>
        </w:rPr>
        <w:t xml:space="preserve">Key Observation: </w:t>
      </w:r>
      <w:r>
        <w:rPr>
          <w:rFonts w:ascii="Calibri" w:hAnsi="Calibri"/>
          <w:color w:val="525866"/>
          <w:sz w:val="22"/>
        </w:rPr>
        <w:t xml:space="preserve">The most notable item is the cluster of CEO Foroughi’s open-market sales on June 10–12, 2026 (totaling approximately 51,000+ shares across direct and indirect holdings), which are </w:t>
      </w:r>
      <w:r>
        <w:rPr>
          <w:rFonts w:ascii="Calibri" w:hAnsi="Calibri"/>
          <w:b/>
          <w:color w:val="525866"/>
          <w:sz w:val="22"/>
        </w:rPr>
        <w:t>not flagged as 10b5-1 plan sales</w:t>
      </w:r>
      <w:r>
        <w:rPr>
          <w:rFonts w:ascii="Calibri" w:hAnsi="Calibri"/>
          <w:color w:val="525866"/>
          <w:sz w:val="22"/>
        </w:rPr>
        <w:t>. These sales occurred around the time of the platform opening and the stock’s peak (~$490–$520 range). While the CEO retains a very large position (2.3M+ shares), the discretionary nature of these sales is worth noting. All other sales by the CFO, CTO, and Director Webb are pre-scheduled 10b5-1 plan sales and are obligation-driven. No open-market buys have been filed by any insider since the Q1 print. Source: Insider Transaction Data (SEC Form 4 filings).</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