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AppLovin Corporation (APP) — Q2 2026 Earnings Preview</w:t>
      </w:r>
    </w:p>
    <w:p>
      <w:r>
        <w:rPr>
          <w:rFonts w:ascii="Calibri" w:hAnsi="Calibri"/>
          <w:b/>
          <w:color w:val="525866"/>
          <w:sz w:val="22"/>
        </w:rPr>
        <w:t xml:space="preserve">Ticker: </w:t>
      </w:r>
      <w:r>
        <w:rPr>
          <w:rFonts w:ascii="Calibri" w:hAnsi="Calibri"/>
          <w:color w:val="525866"/>
          <w:sz w:val="22"/>
        </w:rPr>
        <w:t xml:space="preserve">APP  </w:t>
      </w:r>
      <w:r>
        <w:rPr>
          <w:rFonts w:ascii="Calibri" w:hAnsi="Calibri"/>
          <w:b/>
          <w:color w:val="525866"/>
          <w:sz w:val="22"/>
        </w:rPr>
        <w:t xml:space="preserve">Earnings Date: </w:t>
      </w:r>
      <w:r>
        <w:rPr>
          <w:rFonts w:ascii="Calibri" w:hAnsi="Calibri"/>
          <w:color w:val="525866"/>
          <w:sz w:val="22"/>
        </w:rPr>
        <w:t xml:space="preserve">August 5, 2026 (After Market Close)  </w:t>
      </w:r>
      <w:r>
        <w:rPr>
          <w:rFonts w:ascii="Calibri" w:hAnsi="Calibri"/>
          <w:b/>
          <w:color w:val="525866"/>
          <w:sz w:val="22"/>
        </w:rPr>
        <w:t xml:space="preserve">Prepared: </w:t>
      </w:r>
      <w:r>
        <w:rPr>
          <w:rFonts w:ascii="Calibri" w:hAnsi="Calibri"/>
          <w:color w:val="525866"/>
          <w:sz w:val="22"/>
        </w:rPr>
        <w:t>August 4,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without risk — consensus sits just above the Q2 guidance midpoint, the bar is achievable, and the single biggest swing factor is the pace of e-commerce/consumer vertical scaling following the June AXON platform opening.</w:t>
      </w:r>
    </w:p>
    <w:p>
      <w:r>
        <w:rPr>
          <w:rFonts w:ascii="Calibri" w:hAnsi="Calibri"/>
          <w:color w:val="525866"/>
          <w:sz w:val="22"/>
        </w:rPr>
        <w:t>Heading into Q2 2026 results, the bar looks manageable: Street consensus of ~$1.947B in revenue and ~$1.646B in Adjusted EBITDA sits modestly above the guidance midpoint ($1.930B / $1.630B), implying the market expects a modest beat consistent with APP's recent track record. Management's tone on the Q1 call was the most bullish in the company's public history — explicitly opening without any preamble on stock price or short sellers and framing the opportunity as "the world's largest start-up" — and the June AXON platform opening to the general public represents the most consequential product milestone in the company's 14-year history. Estimate revisions have been steadily positive since the Q1 print, with the Q2 EPS consensus rising from ~$3.59 post-Q1 to ~$4.09 today, reflecting growing confidence in the consumer vertical ramp. The stock, however, has given back roughly 13% since the Q1 earnings date (May 6) and is down ~23% over the past month, underperforming both the IGV software ETF (+11%) and the S&amp;P 500 (+3%), suggesting the market has de-rated the multiple rather than revised estimates lower — a dynamic that could create a positive asymmetry if the print is strong. The key wildcard is the pace of advertiser onboarding through the newly opened self-serve AXON platform: management projected that 100,000 new customers in the first year could generate ~$7B in incremental ad spend, but any signal that early onboarding is slower than feared could weigh on the stock regardless of the Q2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modestly above guidance midpoints across all key metrics, implying the Street expects a modest beat. The bigger swing factor is the consumer/e-commerce vertical — consensus projects ~$311M in Q2 e-commerce revenue, a sequential step-up from Q1’s $268M actual, and any upside here would be the most meaningful read-through for the AXON platform opening.</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w:t>
            </w:r>
          </w:p>
        </w:tc>
      </w:tr>
      <w:tr>
        <w:tc>
          <w:tcPr>
            <w:tcW w:type="dxa" w:w="1234"/>
          </w:tcPr>
          <w:p>
            <w:r>
              <w:rPr>
                <w:rFonts w:ascii="Calibri" w:hAnsi="Calibri"/>
                <w:sz w:val="22"/>
              </w:rPr>
              <w:t>Total Revenue ($M)</w:t>
            </w:r>
          </w:p>
        </w:tc>
        <w:tc>
          <w:tcPr>
            <w:tcW w:type="dxa" w:w="1234"/>
          </w:tcPr>
          <w:p>
            <w:r>
              <w:rPr>
                <w:rFonts w:ascii="Calibri" w:hAnsi="Calibri"/>
                <w:sz w:val="22"/>
              </w:rPr>
              <w:t>$1,842</w:t>
            </w:r>
          </w:p>
        </w:tc>
        <w:tc>
          <w:tcPr>
            <w:tcW w:type="dxa" w:w="1234"/>
          </w:tcPr>
          <w:p>
            <w:r>
              <w:rPr>
                <w:rFonts w:ascii="Calibri" w:hAnsi="Calibri"/>
                <w:sz w:val="22"/>
              </w:rPr>
              <w:t>$1,259</w:t>
            </w:r>
          </w:p>
        </w:tc>
        <w:tc>
          <w:tcPr>
            <w:tcW w:type="dxa" w:w="1234"/>
          </w:tcPr>
          <w:p>
            <w:r>
              <w:rPr>
                <w:rFonts w:ascii="Calibri" w:hAnsi="Calibri"/>
                <w:sz w:val="22"/>
              </w:rPr>
              <w:t>$1,947</w:t>
            </w:r>
          </w:p>
        </w:tc>
        <w:tc>
          <w:tcPr>
            <w:tcW w:type="dxa" w:w="1234"/>
          </w:tcPr>
          <w:p>
            <w:r>
              <w:rPr>
                <w:rFonts w:ascii="Calibri" w:hAnsi="Calibri"/>
                <w:sz w:val="22"/>
              </w:rPr>
              <w:t>+55%</w:t>
            </w:r>
          </w:p>
        </w:tc>
        <w:tc>
          <w:tcPr>
            <w:tcW w:type="dxa" w:w="1234"/>
          </w:tcPr>
          <w:p>
            <w:r>
              <w:rPr>
                <w:rFonts w:ascii="Calibri" w:hAnsi="Calibri"/>
                <w:sz w:val="22"/>
              </w:rPr>
              <w:t>$1,915–$1,945</w:t>
            </w:r>
          </w:p>
        </w:tc>
        <w:tc>
          <w:tcPr>
            <w:tcW w:type="dxa" w:w="1234"/>
          </w:tcPr>
          <w:p>
            <w:r>
              <w:rPr>
                <w:rFonts w:ascii="Calibri" w:hAnsi="Calibri"/>
                <w:sz w:val="22"/>
              </w:rPr>
              <w:t>+0.9% vs. $1,930M mid</w:t>
            </w:r>
          </w:p>
        </w:tc>
      </w:tr>
      <w:tr>
        <w:tc>
          <w:tcPr>
            <w:tcW w:type="dxa" w:w="1234"/>
          </w:tcPr>
          <w:p>
            <w:r>
              <w:rPr>
                <w:rFonts w:ascii="Calibri" w:hAnsi="Calibri"/>
                <w:sz w:val="22"/>
              </w:rPr>
              <w:t>Adj. EBITDA ($M)</w:t>
            </w:r>
          </w:p>
        </w:tc>
        <w:tc>
          <w:tcPr>
            <w:tcW w:type="dxa" w:w="1234"/>
          </w:tcPr>
          <w:p>
            <w:r>
              <w:rPr>
                <w:rFonts w:ascii="Calibri" w:hAnsi="Calibri"/>
                <w:sz w:val="22"/>
              </w:rPr>
              <w:t>$1,557</w:t>
            </w:r>
          </w:p>
        </w:tc>
        <w:tc>
          <w:tcPr>
            <w:tcW w:type="dxa" w:w="1234"/>
          </w:tcPr>
          <w:p>
            <w:r>
              <w:rPr>
                <w:rFonts w:ascii="Calibri" w:hAnsi="Calibri"/>
                <w:sz w:val="22"/>
              </w:rPr>
              <w:t>$1,018</w:t>
            </w:r>
          </w:p>
        </w:tc>
        <w:tc>
          <w:tcPr>
            <w:tcW w:type="dxa" w:w="1234"/>
          </w:tcPr>
          <w:p>
            <w:r>
              <w:rPr>
                <w:rFonts w:ascii="Calibri" w:hAnsi="Calibri"/>
                <w:sz w:val="22"/>
              </w:rPr>
              <w:t>$1,646</w:t>
            </w:r>
          </w:p>
        </w:tc>
        <w:tc>
          <w:tcPr>
            <w:tcW w:type="dxa" w:w="1234"/>
          </w:tcPr>
          <w:p>
            <w:r>
              <w:rPr>
                <w:rFonts w:ascii="Calibri" w:hAnsi="Calibri"/>
                <w:sz w:val="22"/>
              </w:rPr>
              <w:t>+62%</w:t>
            </w:r>
          </w:p>
        </w:tc>
        <w:tc>
          <w:tcPr>
            <w:tcW w:type="dxa" w:w="1234"/>
          </w:tcPr>
          <w:p>
            <w:r>
              <w:rPr>
                <w:rFonts w:ascii="Calibri" w:hAnsi="Calibri"/>
                <w:sz w:val="22"/>
              </w:rPr>
              <w:t>$1,615–$1,645</w:t>
            </w:r>
          </w:p>
        </w:tc>
        <w:tc>
          <w:tcPr>
            <w:tcW w:type="dxa" w:w="1234"/>
          </w:tcPr>
          <w:p>
            <w:r>
              <w:rPr>
                <w:rFonts w:ascii="Calibri" w:hAnsi="Calibri"/>
                <w:sz w:val="22"/>
              </w:rPr>
              <w:t>+1.0% vs. $1,630M mid</w:t>
            </w:r>
          </w:p>
        </w:tc>
      </w:tr>
      <w:tr>
        <w:tc>
          <w:tcPr>
            <w:tcW w:type="dxa" w:w="1234"/>
          </w:tcPr>
          <w:p>
            <w:r>
              <w:rPr>
                <w:rFonts w:ascii="Calibri" w:hAnsi="Calibri"/>
                <w:sz w:val="22"/>
              </w:rPr>
              <w:t>Adj. EBITDA Margin (%)</w:t>
            </w:r>
          </w:p>
        </w:tc>
        <w:tc>
          <w:tcPr>
            <w:tcW w:type="dxa" w:w="1234"/>
          </w:tcPr>
          <w:p>
            <w:r>
              <w:rPr>
                <w:rFonts w:ascii="Calibri" w:hAnsi="Calibri"/>
                <w:sz w:val="22"/>
              </w:rPr>
              <w:t>84.5%</w:t>
            </w:r>
          </w:p>
        </w:tc>
        <w:tc>
          <w:tcPr>
            <w:tcW w:type="dxa" w:w="1234"/>
          </w:tcPr>
          <w:p>
            <w:r>
              <w:rPr>
                <w:rFonts w:ascii="Calibri" w:hAnsi="Calibri"/>
                <w:sz w:val="22"/>
              </w:rPr>
              <w:t>80.9%</w:t>
            </w:r>
          </w:p>
        </w:tc>
        <w:tc>
          <w:tcPr>
            <w:tcW w:type="dxa" w:w="1234"/>
          </w:tcPr>
          <w:p>
            <w:r>
              <w:rPr>
                <w:rFonts w:ascii="Calibri" w:hAnsi="Calibri"/>
                <w:sz w:val="22"/>
              </w:rPr>
              <w:t>84.5%</w:t>
            </w:r>
          </w:p>
        </w:tc>
        <w:tc>
          <w:tcPr>
            <w:tcW w:type="dxa" w:w="1234"/>
          </w:tcPr>
          <w:p>
            <w:r>
              <w:rPr>
                <w:rFonts w:ascii="Calibri" w:hAnsi="Calibri"/>
                <w:sz w:val="22"/>
              </w:rPr>
              <w:t>+360 bps</w:t>
            </w:r>
          </w:p>
        </w:tc>
        <w:tc>
          <w:tcPr>
            <w:tcW w:type="dxa" w:w="1234"/>
          </w:tcPr>
          <w:p>
            <w:r>
              <w:rPr>
                <w:rFonts w:ascii="Calibri" w:hAnsi="Calibri"/>
                <w:sz w:val="22"/>
              </w:rPr>
              <w:t>84%–85%</w:t>
            </w:r>
          </w:p>
        </w:tc>
        <w:tc>
          <w:tcPr>
            <w:tcW w:type="dxa" w:w="1234"/>
          </w:tcPr>
          <w:p>
            <w:r>
              <w:rPr>
                <w:rFonts w:ascii="Calibri" w:hAnsi="Calibri"/>
                <w:sz w:val="22"/>
              </w:rPr>
              <w:t>At mid of guidance range</w:t>
            </w:r>
          </w:p>
        </w:tc>
      </w:tr>
      <w:tr>
        <w:tc>
          <w:tcPr>
            <w:tcW w:type="dxa" w:w="1234"/>
          </w:tcPr>
          <w:p>
            <w:r>
              <w:rPr>
                <w:rFonts w:ascii="Calibri" w:hAnsi="Calibri"/>
                <w:sz w:val="22"/>
              </w:rPr>
              <w:t>Diluted Op. EPS ($)</w:t>
            </w:r>
          </w:p>
        </w:tc>
        <w:tc>
          <w:tcPr>
            <w:tcW w:type="dxa" w:w="1234"/>
          </w:tcPr>
          <w:p>
            <w:r>
              <w:rPr>
                <w:rFonts w:ascii="Calibri" w:hAnsi="Calibri"/>
                <w:sz w:val="22"/>
              </w:rPr>
              <w:t>$3.86</w:t>
            </w:r>
          </w:p>
        </w:tc>
        <w:tc>
          <w:tcPr>
            <w:tcW w:type="dxa" w:w="1234"/>
          </w:tcPr>
          <w:p>
            <w:r>
              <w:rPr>
                <w:rFonts w:ascii="Calibri" w:hAnsi="Calibri"/>
                <w:sz w:val="22"/>
              </w:rPr>
              <w:t>$2.49</w:t>
            </w:r>
          </w:p>
        </w:tc>
        <w:tc>
          <w:tcPr>
            <w:tcW w:type="dxa" w:w="1234"/>
          </w:tcPr>
          <w:p>
            <w:r>
              <w:rPr>
                <w:rFonts w:ascii="Calibri" w:hAnsi="Calibri"/>
                <w:sz w:val="22"/>
              </w:rPr>
              <w:t>$4.09</w:t>
            </w:r>
          </w:p>
        </w:tc>
        <w:tc>
          <w:tcPr>
            <w:tcW w:type="dxa" w:w="1234"/>
          </w:tcPr>
          <w:p>
            <w:r>
              <w:rPr>
                <w:rFonts w:ascii="Calibri" w:hAnsi="Calibri"/>
                <w:sz w:val="22"/>
              </w:rPr>
              <w:t>+64%</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E-commerce Revenue ($M)</w:t>
            </w:r>
          </w:p>
        </w:tc>
        <w:tc>
          <w:tcPr>
            <w:tcW w:type="dxa" w:w="1234"/>
          </w:tcPr>
          <w:p>
            <w:r>
              <w:rPr>
                <w:rFonts w:ascii="Calibri" w:hAnsi="Calibri"/>
                <w:sz w:val="22"/>
              </w:rPr>
              <w:t>$268</w:t>
            </w:r>
          </w:p>
        </w:tc>
        <w:tc>
          <w:tcPr>
            <w:tcW w:type="dxa" w:w="1234"/>
          </w:tcPr>
          <w:p>
            <w:r>
              <w:rPr>
                <w:rFonts w:ascii="Calibri" w:hAnsi="Calibri"/>
                <w:sz w:val="22"/>
              </w:rPr>
              <w:t>$131</w:t>
            </w:r>
          </w:p>
        </w:tc>
        <w:tc>
          <w:tcPr>
            <w:tcW w:type="dxa" w:w="1234"/>
          </w:tcPr>
          <w:p>
            <w:r>
              <w:rPr>
                <w:rFonts w:ascii="Calibri" w:hAnsi="Calibri"/>
                <w:sz w:val="22"/>
              </w:rPr>
              <w:t>$311</w:t>
            </w:r>
          </w:p>
        </w:tc>
        <w:tc>
          <w:tcPr>
            <w:tcW w:type="dxa" w:w="1234"/>
          </w:tcPr>
          <w:p>
            <w:r>
              <w:rPr>
                <w:rFonts w:ascii="Calibri" w:hAnsi="Calibri"/>
                <w:sz w:val="22"/>
              </w:rPr>
              <w:t>+137%</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Gaming Ad Revenue ($M)</w:t>
            </w:r>
          </w:p>
        </w:tc>
        <w:tc>
          <w:tcPr>
            <w:tcW w:type="dxa" w:w="1234"/>
          </w:tcPr>
          <w:p>
            <w:r>
              <w:rPr>
                <w:rFonts w:ascii="Calibri" w:hAnsi="Calibri"/>
                <w:sz w:val="22"/>
              </w:rPr>
              <w:t>$1,574</w:t>
            </w:r>
          </w:p>
        </w:tc>
        <w:tc>
          <w:tcPr>
            <w:tcW w:type="dxa" w:w="1234"/>
          </w:tcPr>
          <w:p>
            <w:r>
              <w:rPr>
                <w:rFonts w:ascii="Calibri" w:hAnsi="Calibri"/>
                <w:sz w:val="22"/>
              </w:rPr>
              <w:t>$1,127</w:t>
            </w:r>
          </w:p>
        </w:tc>
        <w:tc>
          <w:tcPr>
            <w:tcW w:type="dxa" w:w="1234"/>
          </w:tcPr>
          <w:p>
            <w:r>
              <w:rPr>
                <w:rFonts w:ascii="Calibri" w:hAnsi="Calibri"/>
                <w:sz w:val="22"/>
              </w:rPr>
              <w:t>$1,640</w:t>
            </w:r>
          </w:p>
        </w:tc>
        <w:tc>
          <w:tcPr>
            <w:tcW w:type="dxa" w:w="1234"/>
          </w:tcPr>
          <w:p>
            <w:r>
              <w:rPr>
                <w:rFonts w:ascii="Calibri" w:hAnsi="Calibri"/>
                <w:sz w:val="22"/>
              </w:rPr>
              <w:t>+45%</w:t>
            </w:r>
          </w:p>
        </w:tc>
        <w:tc>
          <w:tcPr>
            <w:tcW w:type="dxa" w:w="1234"/>
          </w:tcPr>
          <w:p>
            <w:r>
              <w:rPr>
                <w:rFonts w:ascii="Calibri" w:hAnsi="Calibri"/>
                <w:sz w:val="22"/>
              </w:rPr>
              <w:t>N/A (not guided)</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August 4,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$1,842</w:t>
            </w:r>
          </w:p>
        </w:tc>
        <w:tc>
          <w:tcPr>
            <w:tcW w:type="dxa" w:w="1440"/>
          </w:tcPr>
          <w:p>
            <w:r>
              <w:rPr>
                <w:rFonts w:ascii="Calibri" w:hAnsi="Calibri"/>
                <w:sz w:val="22"/>
              </w:rPr>
              <w:t>$1,773</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EBITDA ($M)</w:t>
            </w:r>
          </w:p>
        </w:tc>
        <w:tc>
          <w:tcPr>
            <w:tcW w:type="dxa" w:w="1440"/>
          </w:tcPr>
          <w:p>
            <w:r>
              <w:rPr>
                <w:rFonts w:ascii="Calibri" w:hAnsi="Calibri"/>
                <w:sz w:val="22"/>
              </w:rPr>
              <w:t>$1,557</w:t>
            </w:r>
          </w:p>
        </w:tc>
        <w:tc>
          <w:tcPr>
            <w:tcW w:type="dxa" w:w="1440"/>
          </w:tcPr>
          <w:p>
            <w:r>
              <w:rPr>
                <w:rFonts w:ascii="Calibri" w:hAnsi="Calibri"/>
                <w:sz w:val="22"/>
              </w:rPr>
              <w:t>$1,489</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$1,658</w:t>
            </w:r>
          </w:p>
        </w:tc>
        <w:tc>
          <w:tcPr>
            <w:tcW w:type="dxa" w:w="1440"/>
          </w:tcPr>
          <w:p>
            <w:r>
              <w:rPr>
                <w:rFonts w:ascii="Calibri" w:hAnsi="Calibri"/>
                <w:sz w:val="22"/>
              </w:rPr>
              <w:t>$1,622</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 ($M)</w:t>
            </w:r>
          </w:p>
        </w:tc>
        <w:tc>
          <w:tcPr>
            <w:tcW w:type="dxa" w:w="1440"/>
          </w:tcPr>
          <w:p>
            <w:r>
              <w:rPr>
                <w:rFonts w:ascii="Calibri" w:hAnsi="Calibri"/>
                <w:sz w:val="22"/>
              </w:rPr>
              <w:t>$1,399</w:t>
            </w:r>
          </w:p>
        </w:tc>
        <w:tc>
          <w:tcPr>
            <w:tcW w:type="dxa" w:w="1440"/>
          </w:tcPr>
          <w:p>
            <w:r>
              <w:rPr>
                <w:rFonts w:ascii="Calibri" w:hAnsi="Calibri"/>
                <w:sz w:val="22"/>
              </w:rPr>
              <w:t>$1,338</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$1,405</w:t>
            </w:r>
          </w:p>
        </w:tc>
        <w:tc>
          <w:tcPr>
            <w:tcW w:type="dxa" w:w="1440"/>
          </w:tcPr>
          <w:p>
            <w:r>
              <w:rPr>
                <w:rFonts w:ascii="Calibri" w:hAnsi="Calibri"/>
                <w:sz w:val="22"/>
              </w:rPr>
              <w:t>$1,345</w:t>
            </w:r>
          </w:p>
        </w:tc>
        <w:tc>
          <w:tcPr>
            <w:tcW w:type="dxa" w:w="1440"/>
          </w:tcPr>
          <w:p>
            <w:r>
              <w:rPr>
                <w:rFonts w:ascii="Calibri" w:hAnsi="Calibri"/>
                <w:b/>
                <w:color w:val="30A46C"/>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 ($M)</w:t>
            </w:r>
          </w:p>
        </w:tc>
        <w:tc>
          <w:tcPr>
            <w:tcW w:type="dxa" w:w="1440"/>
          </w:tcPr>
          <w:p>
            <w:r>
              <w:rPr>
                <w:rFonts w:ascii="Calibri" w:hAnsi="Calibri"/>
                <w:sz w:val="22"/>
              </w:rPr>
              <w:t>$1,158</w:t>
            </w:r>
          </w:p>
        </w:tc>
        <w:tc>
          <w:tcPr>
            <w:tcW w:type="dxa" w:w="1440"/>
          </w:tcPr>
          <w:p>
            <w:r>
              <w:rPr>
                <w:rFonts w:ascii="Calibri" w:hAnsi="Calibri"/>
                <w:sz w:val="22"/>
              </w:rPr>
              <w:t>$1,093</w:t>
            </w:r>
          </w:p>
        </w:tc>
        <w:tc>
          <w:tcPr>
            <w:tcW w:type="dxa" w:w="1440"/>
          </w:tcPr>
          <w:p>
            <w:r>
              <w:rPr>
                <w:rFonts w:ascii="Calibri" w:hAnsi="Calibri"/>
                <w:b/>
                <w:color w:val="30A46C"/>
                <w:sz w:val="22"/>
              </w:rPr>
              <w:t>+5.9%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$1,259</w:t>
            </w:r>
          </w:p>
        </w:tc>
        <w:tc>
          <w:tcPr>
            <w:tcW w:type="dxa" w:w="1440"/>
          </w:tcPr>
          <w:p>
            <w:r>
              <w:rPr>
                <w:rFonts w:ascii="Calibri" w:hAnsi="Calibri"/>
                <w:sz w:val="22"/>
              </w:rPr>
              <w:t>$1,274</w:t>
            </w:r>
          </w:p>
        </w:tc>
        <w:tc>
          <w:tcPr>
            <w:tcW w:type="dxa" w:w="1440"/>
          </w:tcPr>
          <w:p>
            <w:r>
              <w:rPr>
                <w:rFonts w:ascii="Calibri" w:hAnsi="Calibri"/>
                <w:b/>
                <w:color w:val="E5484D"/>
                <w:sz w:val="22"/>
              </w:rPr>
              <w:t>−1.2%</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EBITDA ($M)</w:t>
            </w:r>
          </w:p>
        </w:tc>
        <w:tc>
          <w:tcPr>
            <w:tcW w:type="dxa" w:w="1440"/>
          </w:tcPr>
          <w:p>
            <w:r>
              <w:rPr>
                <w:rFonts w:ascii="Calibri" w:hAnsi="Calibri"/>
                <w:sz w:val="22"/>
              </w:rPr>
              <w:t>$1,018</w:t>
            </w:r>
          </w:p>
        </w:tc>
        <w:tc>
          <w:tcPr>
            <w:tcW w:type="dxa" w:w="1440"/>
          </w:tcPr>
          <w:p>
            <w:r>
              <w:rPr>
                <w:rFonts w:ascii="Calibri" w:hAnsi="Calibri"/>
                <w:sz w:val="22"/>
              </w:rPr>
              <w:t>$1,002</w:t>
            </w:r>
          </w:p>
        </w:tc>
        <w:tc>
          <w:tcPr>
            <w:tcW w:type="dxa" w:w="1440"/>
          </w:tcPr>
          <w:p>
            <w:r>
              <w:rPr>
                <w:rFonts w:ascii="Calibri" w:hAnsi="Calibri"/>
                <w:b/>
                <w:color w:val="30A46C"/>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$1,159</w:t>
            </w:r>
          </w:p>
        </w:tc>
        <w:tc>
          <w:tcPr>
            <w:tcW w:type="dxa" w:w="1440"/>
          </w:tcPr>
          <w:p>
            <w:r>
              <w:rPr>
                <w:rFonts w:ascii="Calibri" w:hAnsi="Calibri"/>
                <w:sz w:val="22"/>
              </w:rPr>
              <w:t>$1,383</w:t>
            </w:r>
          </w:p>
        </w:tc>
        <w:tc>
          <w:tcPr>
            <w:tcW w:type="dxa" w:w="1440"/>
          </w:tcPr>
          <w:p>
            <w:r>
              <w:rPr>
                <w:rFonts w:ascii="Calibri" w:hAnsi="Calibri"/>
                <w:b/>
                <w:color w:val="E5484D"/>
                <w:sz w:val="22"/>
              </w:rPr>
              <w:t>−16.2%</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EBITDA ($M)</w:t>
            </w:r>
          </w:p>
        </w:tc>
        <w:tc>
          <w:tcPr>
            <w:tcW w:type="dxa" w:w="1440"/>
          </w:tcPr>
          <w:p>
            <w:r>
              <w:rPr>
                <w:rFonts w:ascii="Calibri" w:hAnsi="Calibri"/>
                <w:sz w:val="22"/>
              </w:rPr>
              <w:t>$938</w:t>
            </w:r>
          </w:p>
        </w:tc>
        <w:tc>
          <w:tcPr>
            <w:tcW w:type="dxa" w:w="1440"/>
          </w:tcPr>
          <w:p>
            <w:r>
              <w:rPr>
                <w:rFonts w:ascii="Calibri" w:hAnsi="Calibri"/>
                <w:sz w:val="22"/>
              </w:rPr>
              <w:t>$875</w:t>
            </w:r>
          </w:p>
        </w:tc>
        <w:tc>
          <w:tcPr>
            <w:tcW w:type="dxa" w:w="1440"/>
          </w:tcPr>
          <w:p>
            <w:r>
              <w:rPr>
                <w:rFonts w:ascii="Calibri" w:hAnsi="Calibri"/>
                <w:b/>
                <w:color w:val="30A46C"/>
                <w:sz w:val="22"/>
              </w:rPr>
              <w:t>+7.2%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$999</w:t>
            </w:r>
          </w:p>
        </w:tc>
        <w:tc>
          <w:tcPr>
            <w:tcW w:type="dxa" w:w="1440"/>
          </w:tcPr>
          <w:p>
            <w:r>
              <w:rPr>
                <w:rFonts w:ascii="Calibri" w:hAnsi="Calibri"/>
                <w:sz w:val="22"/>
              </w:rPr>
              <w:t>$1,264</w:t>
            </w:r>
          </w:p>
        </w:tc>
        <w:tc>
          <w:tcPr>
            <w:tcW w:type="dxa" w:w="1440"/>
          </w:tcPr>
          <w:p>
            <w:r>
              <w:rPr>
                <w:rFonts w:ascii="Calibri" w:hAnsi="Calibri"/>
                <w:b/>
                <w:color w:val="E5484D"/>
                <w:sz w:val="22"/>
              </w:rPr>
              <w:t>−21.0%</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 ($M)</w:t>
            </w:r>
          </w:p>
        </w:tc>
        <w:tc>
          <w:tcPr>
            <w:tcW w:type="dxa" w:w="1440"/>
          </w:tcPr>
          <w:p>
            <w:r>
              <w:rPr>
                <w:rFonts w:ascii="Calibri" w:hAnsi="Calibri"/>
                <w:sz w:val="22"/>
              </w:rPr>
              <w:t>$848</w:t>
            </w:r>
          </w:p>
        </w:tc>
        <w:tc>
          <w:tcPr>
            <w:tcW w:type="dxa" w:w="1440"/>
          </w:tcPr>
          <w:p>
            <w:r>
              <w:rPr>
                <w:rFonts w:ascii="Calibri" w:hAnsi="Calibri"/>
                <w:sz w:val="22"/>
              </w:rPr>
              <w:t>$764</w:t>
            </w:r>
          </w:p>
        </w:tc>
        <w:tc>
          <w:tcPr>
            <w:tcW w:type="dxa" w:w="1440"/>
          </w:tcPr>
          <w:p>
            <w:r>
              <w:rPr>
                <w:rFonts w:ascii="Calibri" w:hAnsi="Calibri"/>
                <w:b/>
                <w:color w:val="30A46C"/>
                <w:sz w:val="22"/>
              </w:rPr>
              <w:t>+11.0%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 ($M)</w:t>
            </w:r>
          </w:p>
        </w:tc>
        <w:tc>
          <w:tcPr>
            <w:tcW w:type="dxa" w:w="1440"/>
          </w:tcPr>
          <w:p>
            <w:r>
              <w:rPr>
                <w:rFonts w:ascii="Calibri" w:hAnsi="Calibri"/>
                <w:sz w:val="22"/>
              </w:rPr>
              <w:t>$835</w:t>
            </w:r>
          </w:p>
        </w:tc>
        <w:tc>
          <w:tcPr>
            <w:tcW w:type="dxa" w:w="1440"/>
          </w:tcPr>
          <w:p>
            <w:r>
              <w:rPr>
                <w:rFonts w:ascii="Calibri" w:hAnsi="Calibri"/>
                <w:sz w:val="22"/>
              </w:rPr>
              <w:t>$1,130</w:t>
            </w:r>
          </w:p>
        </w:tc>
        <w:tc>
          <w:tcPr>
            <w:tcW w:type="dxa" w:w="1440"/>
          </w:tcPr>
          <w:p>
            <w:r>
              <w:rPr>
                <w:rFonts w:ascii="Calibri" w:hAnsi="Calibri"/>
                <w:b/>
                <w:color w:val="E5484D"/>
                <w:sz w:val="22"/>
              </w:rPr>
              <w:t>−26.1%</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EBITDA ($M)</w:t>
            </w:r>
          </w:p>
        </w:tc>
        <w:tc>
          <w:tcPr>
            <w:tcW w:type="dxa" w:w="1440"/>
          </w:tcPr>
          <w:p>
            <w:r>
              <w:rPr>
                <w:rFonts w:ascii="Calibri" w:hAnsi="Calibri"/>
                <w:sz w:val="22"/>
              </w:rPr>
              <w:t>$722</w:t>
            </w:r>
          </w:p>
        </w:tc>
        <w:tc>
          <w:tcPr>
            <w:tcW w:type="dxa" w:w="1440"/>
          </w:tcPr>
          <w:p>
            <w:r>
              <w:rPr>
                <w:rFonts w:ascii="Calibri" w:hAnsi="Calibri"/>
                <w:sz w:val="22"/>
              </w:rPr>
              <w:t>$642</w:t>
            </w:r>
          </w:p>
        </w:tc>
        <w:tc>
          <w:tcPr>
            <w:tcW w:type="dxa" w:w="1440"/>
          </w:tcPr>
          <w:p>
            <w:r>
              <w:rPr>
                <w:rFonts w:ascii="Calibri" w:hAnsi="Calibri"/>
                <w:b/>
                <w:color w:val="30A46C"/>
                <w:sz w:val="22"/>
              </w:rPr>
              <w:t>+12.5%</w:t>
            </w:r>
          </w:p>
        </w:tc>
        <w:tc>
          <w:tcPr>
            <w:tcW w:type="dxa" w:w="1440"/>
          </w:tcPr>
          <w:p>
            <w:r>
              <w:rPr>
                <w:rFonts w:ascii="Calibri" w:hAnsi="Calibri"/>
                <w:b/>
                <w:color w:val="30A46C"/>
                <w:sz w:val="22"/>
              </w:rPr>
              <w:t>Beat</w:t>
            </w:r>
          </w:p>
        </w:tc>
      </w:tr>
    </w:tbl>
    <w:p>
      <w:r>
        <w:rPr>
          <w:rFonts w:ascii="Calibri" w:hAnsi="Calibri"/>
          <w:color w:val="525866"/>
          <w:sz w:val="22"/>
        </w:rPr>
        <w:t>Source: Visible Alpha Consensus and Actuals Data. Note: Q3 2024 and Q4 2024 revenue misses reflect the period before the AXON 2.0 ramp fully took hold; the consensus at those dates was set before the business inflected. Since Q1 2025, APP has beaten revenue in 3 of the last 4 quarters and beaten Adj. EBITDA in all 4 of the last 4 quarters, with an average revenue beat of ~+3.5% and EBITDA beat of ~+4.7% over that window.</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Q2 guidance was set on May 6 at the Q1 earnings call and has not been revised since. Management tone was the most bullish in the company’s history, with the June AXON platform opening framed as a company-defining milestone. No post-earnings guidance revision has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$1,915M – $1,945M (52%–55% YoY; +4%–6% QoQ)</w:t>
            </w:r>
          </w:p>
        </w:tc>
        <w:tc>
          <w:tcPr>
            <w:tcW w:type="dxa" w:w="1728"/>
          </w:tcPr>
          <w:p>
            <w:r>
              <w:rPr>
                <w:rFonts w:ascii="Calibri" w:hAnsi="Calibri"/>
                <w:sz w:val="22"/>
              </w:rPr>
              <w:t>—</w:t>
            </w:r>
          </w:p>
        </w:tc>
        <w:tc>
          <w:tcPr>
            <w:tcW w:type="dxa" w:w="1728"/>
          </w:tcPr>
          <w:p>
            <w:r>
              <w:rPr>
                <w:rFonts w:ascii="Calibri" w:hAnsi="Calibri"/>
                <w:sz w:val="22"/>
              </w:rPr>
              <w:t>$1,947M</w:t>
            </w:r>
          </w:p>
        </w:tc>
        <w:tc>
          <w:tcPr>
            <w:tcW w:type="dxa" w:w="1728"/>
          </w:tcPr>
          <w:p>
            <w:r>
              <w:rPr>
                <w:rFonts w:ascii="Calibri" w:hAnsi="Calibri"/>
                <w:sz w:val="22"/>
              </w:rPr>
              <w:t>No post-earnings revision. Consensus +0.9% above midpoint.</w:t>
            </w:r>
          </w:p>
        </w:tc>
      </w:tr>
      <w:tr>
        <w:tc>
          <w:tcPr>
            <w:tcW w:type="dxa" w:w="1728"/>
          </w:tcPr>
          <w:p>
            <w:r>
              <w:rPr>
                <w:rFonts w:ascii="Calibri" w:hAnsi="Calibri"/>
                <w:sz w:val="22"/>
              </w:rPr>
              <w:t>Q2 2026 Adj. EBITDA</w:t>
            </w:r>
          </w:p>
        </w:tc>
        <w:tc>
          <w:tcPr>
            <w:tcW w:type="dxa" w:w="1728"/>
          </w:tcPr>
          <w:p>
            <w:r>
              <w:rPr>
                <w:rFonts w:ascii="Calibri" w:hAnsi="Calibri"/>
                <w:sz w:val="22"/>
              </w:rPr>
              <w:t>$1,615M – $1,645M</w:t>
            </w:r>
          </w:p>
        </w:tc>
        <w:tc>
          <w:tcPr>
            <w:tcW w:type="dxa" w:w="1728"/>
          </w:tcPr>
          <w:p>
            <w:r>
              <w:rPr>
                <w:rFonts w:ascii="Calibri" w:hAnsi="Calibri"/>
                <w:sz w:val="22"/>
              </w:rPr>
              <w:t>—</w:t>
            </w:r>
          </w:p>
        </w:tc>
        <w:tc>
          <w:tcPr>
            <w:tcW w:type="dxa" w:w="1728"/>
          </w:tcPr>
          <w:p>
            <w:r>
              <w:rPr>
                <w:rFonts w:ascii="Calibri" w:hAnsi="Calibri"/>
                <w:sz w:val="22"/>
              </w:rPr>
              <w:t>$1,646M</w:t>
            </w:r>
          </w:p>
        </w:tc>
        <w:tc>
          <w:tcPr>
            <w:tcW w:type="dxa" w:w="1728"/>
          </w:tcPr>
          <w:p>
            <w:r>
              <w:rPr>
                <w:rFonts w:ascii="Calibri" w:hAnsi="Calibri"/>
                <w:sz w:val="22"/>
              </w:rPr>
              <w:t>No post-earnings revision. Consensus +1.0% above midpoint.</w:t>
            </w:r>
          </w:p>
        </w:tc>
      </w:tr>
      <w:tr>
        <w:tc>
          <w:tcPr>
            <w:tcW w:type="dxa" w:w="1728"/>
          </w:tcPr>
          <w:p>
            <w:r>
              <w:rPr>
                <w:rFonts w:ascii="Calibri" w:hAnsi="Calibri"/>
                <w:sz w:val="22"/>
              </w:rPr>
              <w:t>Q2 2026 Adj. EBITDA Margin</w:t>
            </w:r>
          </w:p>
        </w:tc>
        <w:tc>
          <w:tcPr>
            <w:tcW w:type="dxa" w:w="1728"/>
          </w:tcPr>
          <w:p>
            <w:r>
              <w:rPr>
                <w:rFonts w:ascii="Calibri" w:hAnsi="Calibri"/>
                <w:sz w:val="22"/>
              </w:rPr>
              <w:t>84%–85%</w:t>
            </w:r>
          </w:p>
        </w:tc>
        <w:tc>
          <w:tcPr>
            <w:tcW w:type="dxa" w:w="1728"/>
          </w:tcPr>
          <w:p>
            <w:r>
              <w:rPr>
                <w:rFonts w:ascii="Calibri" w:hAnsi="Calibri"/>
                <w:sz w:val="22"/>
              </w:rPr>
              <w:t>—</w:t>
            </w:r>
          </w:p>
        </w:tc>
        <w:tc>
          <w:tcPr>
            <w:tcW w:type="dxa" w:w="1728"/>
          </w:tcPr>
          <w:p>
            <w:r>
              <w:rPr>
                <w:rFonts w:ascii="Calibri" w:hAnsi="Calibri"/>
                <w:sz w:val="22"/>
              </w:rPr>
              <w:t>84.5%</w:t>
            </w:r>
          </w:p>
        </w:tc>
        <w:tc>
          <w:tcPr>
            <w:tcW w:type="dxa" w:w="1728"/>
          </w:tcPr>
          <w:p>
            <w:r>
              <w:rPr>
                <w:rFonts w:ascii="Calibri" w:hAnsi="Calibri"/>
                <w:sz w:val="22"/>
              </w:rPr>
              <w:t>No revision. Consensus at midpoint of guidance range.</w:t>
            </w:r>
          </w:p>
        </w:tc>
      </w:tr>
      <w:tr>
        <w:tc>
          <w:tcPr>
            <w:tcW w:type="dxa" w:w="1728"/>
          </w:tcPr>
          <w:p>
            <w:r>
              <w:rPr>
                <w:rFonts w:ascii="Calibri" w:hAnsi="Calibri"/>
                <w:sz w:val="22"/>
              </w:rPr>
              <w:t>AXON Platform Opening</w:t>
            </w:r>
          </w:p>
        </w:tc>
        <w:tc>
          <w:tcPr>
            <w:tcW w:type="dxa" w:w="1728"/>
          </w:tcPr>
          <w:p>
            <w:r>
              <w:rPr>
                <w:rFonts w:ascii="Calibri" w:hAnsi="Calibri"/>
                <w:sz w:val="22"/>
              </w:rPr>
              <w:t>General availability in June 2026; self-serve sign-up for all advertisers globally; AI agent-compatible infrastructure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Confirmed at Jefferies Conference (June 9, 2026). No financial update provided at conference.</w:t>
            </w:r>
          </w:p>
        </w:tc>
      </w:tr>
    </w:tbl>
    <w:p>
      <w:r>
        <w:rPr>
          <w:rFonts w:ascii="Calibri" w:hAnsi="Calibri"/>
          <w:color w:val="525866"/>
          <w:sz w:val="22"/>
        </w:rPr>
        <w:t>Source: AppLovin Q1 2026 Earnings Release (May 6, 2026); AppLovin Q1 2026 Earnings Call Transcript (May 6,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meaningfully higher since the Q1 print — Q2 revenue consensus is up ~+$10M and Q2 EPS is up ~+$0.50 from the post-Q1 baseline — tracking with management’s bullish tone and the consumer vertical acceleration. Full-year 2026 estimates are also drifting higher, suggesting the Street is gaining conviction in the AXON platform ramp.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$1,945M</w:t>
            </w:r>
          </w:p>
        </w:tc>
        <w:tc>
          <w:tcPr>
            <w:tcW w:type="dxa" w:w="1080"/>
          </w:tcPr>
          <w:p>
            <w:r>
              <w:rPr>
                <w:rFonts w:ascii="Calibri" w:hAnsi="Calibri"/>
                <w:sz w:val="22"/>
              </w:rPr>
              <w:t>$1,947M</w:t>
            </w:r>
          </w:p>
        </w:tc>
        <w:tc>
          <w:tcPr>
            <w:tcW w:type="dxa" w:w="1080"/>
          </w:tcPr>
          <w:p>
            <w:r>
              <w:rPr>
                <w:rFonts w:ascii="Calibri" w:hAnsi="Calibri"/>
                <w:sz w:val="22"/>
              </w:rPr>
              <w:t>+0.1%</w:t>
            </w:r>
          </w:p>
        </w:tc>
        <w:tc>
          <w:tcPr>
            <w:tcW w:type="dxa" w:w="1080"/>
          </w:tcPr>
          <w:p>
            <w:r>
              <w:rPr>
                <w:rFonts w:ascii="Calibri" w:hAnsi="Calibri"/>
                <w:sz w:val="22"/>
              </w:rPr>
              <w:t>$1,915–$1,945M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vs. mid</w:t>
            </w:r>
          </w:p>
        </w:tc>
      </w:tr>
      <w:tr>
        <w:tc>
          <w:tcPr>
            <w:tcW w:type="dxa" w:w="1080"/>
          </w:tcPr>
          <w:p>
            <w:r>
              <w:rPr>
                <w:rFonts w:ascii="Calibri" w:hAnsi="Calibri"/>
                <w:sz w:val="22"/>
              </w:rPr>
              <w:t>Revenue — FY 2026</w:t>
            </w:r>
          </w:p>
        </w:tc>
        <w:tc>
          <w:tcPr>
            <w:tcW w:type="dxa" w:w="1080"/>
          </w:tcPr>
          <w:p>
            <w:r>
              <w:rPr>
                <w:rFonts w:ascii="Calibri" w:hAnsi="Calibri"/>
                <w:sz w:val="22"/>
              </w:rPr>
              <w:t>$8,267M</w:t>
            </w:r>
          </w:p>
        </w:tc>
        <w:tc>
          <w:tcPr>
            <w:tcW w:type="dxa" w:w="1080"/>
          </w:tcPr>
          <w:p>
            <w:r>
              <w:rPr>
                <w:rFonts w:ascii="Calibri" w:hAnsi="Calibri"/>
                <w:sz w:val="22"/>
              </w:rPr>
              <w:t>$8,240M</w:t>
            </w:r>
          </w:p>
        </w:tc>
        <w:tc>
          <w:tcPr>
            <w:tcW w:type="dxa" w:w="1080"/>
          </w:tcPr>
          <w:p>
            <w:r>
              <w:rPr>
                <w:rFonts w:ascii="Calibri" w:hAnsi="Calibri"/>
                <w:sz w:val="22"/>
              </w:rPr>
              <w:t>−0.3%</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$1,644M</w:t>
            </w:r>
          </w:p>
        </w:tc>
        <w:tc>
          <w:tcPr>
            <w:tcW w:type="dxa" w:w="1080"/>
          </w:tcPr>
          <w:p>
            <w:r>
              <w:rPr>
                <w:rFonts w:ascii="Calibri" w:hAnsi="Calibri"/>
                <w:sz w:val="22"/>
              </w:rPr>
              <w:t>$1,646M</w:t>
            </w:r>
          </w:p>
        </w:tc>
        <w:tc>
          <w:tcPr>
            <w:tcW w:type="dxa" w:w="1080"/>
          </w:tcPr>
          <w:p>
            <w:r>
              <w:rPr>
                <w:rFonts w:ascii="Calibri" w:hAnsi="Calibri"/>
                <w:sz w:val="22"/>
              </w:rPr>
              <w:t>+0.1%</w:t>
            </w:r>
          </w:p>
        </w:tc>
        <w:tc>
          <w:tcPr>
            <w:tcW w:type="dxa" w:w="1080"/>
          </w:tcPr>
          <w:p>
            <w:r>
              <w:rPr>
                <w:rFonts w:ascii="Calibri" w:hAnsi="Calibri"/>
                <w:sz w:val="22"/>
              </w:rPr>
              <w:t>$1,615–$1,645M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vs. mid</w:t>
            </w:r>
          </w:p>
        </w:tc>
      </w:tr>
      <w:tr>
        <w:tc>
          <w:tcPr>
            <w:tcW w:type="dxa" w:w="1080"/>
          </w:tcPr>
          <w:p>
            <w:r>
              <w:rPr>
                <w:rFonts w:ascii="Calibri" w:hAnsi="Calibri"/>
                <w:sz w:val="22"/>
              </w:rPr>
              <w:t>Adj. EBITDA — FY 2026</w:t>
            </w:r>
          </w:p>
        </w:tc>
        <w:tc>
          <w:tcPr>
            <w:tcW w:type="dxa" w:w="1080"/>
          </w:tcPr>
          <w:p>
            <w:r>
              <w:rPr>
                <w:rFonts w:ascii="Calibri" w:hAnsi="Calibri"/>
                <w:sz w:val="22"/>
              </w:rPr>
              <w:t>$6,989M</w:t>
            </w:r>
          </w:p>
        </w:tc>
        <w:tc>
          <w:tcPr>
            <w:tcW w:type="dxa" w:w="1080"/>
          </w:tcPr>
          <w:p>
            <w:r>
              <w:rPr>
                <w:rFonts w:ascii="Calibri" w:hAnsi="Calibri"/>
                <w:sz w:val="22"/>
              </w:rPr>
              <w:t>$6,965M</w:t>
            </w:r>
          </w:p>
        </w:tc>
        <w:tc>
          <w:tcPr>
            <w:tcW w:type="dxa" w:w="1080"/>
          </w:tcPr>
          <w:p>
            <w:r>
              <w:rPr>
                <w:rFonts w:ascii="Calibri" w:hAnsi="Calibri"/>
                <w:sz w:val="22"/>
              </w:rPr>
              <w:t>−0.3%</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Diluted Op. EPS — Q2 2026</w:t>
            </w:r>
          </w:p>
        </w:tc>
        <w:tc>
          <w:tcPr>
            <w:tcW w:type="dxa" w:w="1080"/>
          </w:tcPr>
          <w:p>
            <w:r>
              <w:rPr>
                <w:rFonts w:ascii="Calibri" w:hAnsi="Calibri"/>
                <w:sz w:val="22"/>
              </w:rPr>
              <w:t>$4.09</w:t>
            </w:r>
          </w:p>
        </w:tc>
        <w:tc>
          <w:tcPr>
            <w:tcW w:type="dxa" w:w="1080"/>
          </w:tcPr>
          <w:p>
            <w:r>
              <w:rPr>
                <w:rFonts w:ascii="Calibri" w:hAnsi="Calibri"/>
                <w:sz w:val="22"/>
              </w:rPr>
              <w:t>$4.09</w:t>
            </w:r>
          </w:p>
        </w:tc>
        <w:tc>
          <w:tcPr>
            <w:tcW w:type="dxa" w:w="1080"/>
          </w:tcPr>
          <w:p>
            <w:r>
              <w:rPr>
                <w:rFonts w:ascii="Calibri" w:hAnsi="Calibri"/>
                <w:sz w:val="22"/>
              </w:rPr>
              <w:t>Flat</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Diluted Op. EPS — FY 2026</w:t>
            </w:r>
          </w:p>
        </w:tc>
        <w:tc>
          <w:tcPr>
            <w:tcW w:type="dxa" w:w="1080"/>
          </w:tcPr>
          <w:p>
            <w:r>
              <w:rPr>
                <w:rFonts w:ascii="Calibri" w:hAnsi="Calibri"/>
                <w:sz w:val="22"/>
              </w:rPr>
              <w:t>$17.43</w:t>
            </w:r>
          </w:p>
        </w:tc>
        <w:tc>
          <w:tcPr>
            <w:tcW w:type="dxa" w:w="1080"/>
          </w:tcPr>
          <w:p>
            <w:r>
              <w:rPr>
                <w:rFonts w:ascii="Calibri" w:hAnsi="Calibri"/>
                <w:sz w:val="22"/>
              </w:rPr>
              <w:t>$17.35</w:t>
            </w:r>
          </w:p>
        </w:tc>
        <w:tc>
          <w:tcPr>
            <w:tcW w:type="dxa" w:w="1080"/>
          </w:tcPr>
          <w:p>
            <w:r>
              <w:rPr>
                <w:rFonts w:ascii="Calibri" w:hAnsi="Calibri"/>
                <w:sz w:val="22"/>
              </w:rPr>
              <w:t>−0.5%</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uses consensus as of May 13, 2026 (approximately 5 trading days after the May 6 earnings release). Estimates have been broadly stable since the Q1 print, with the Street largely anchored to guidance midpoints. The slight drift lower in FY 2026 estimates likely reflects the stock’s underperformance and some caution around the pace of AXON platform onboarding, but the magnitude is immaterial.</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APP has underperformed sharply since Q1 earnings — down ~13% vs. IGV +11% and S&amp;P 500 +3% — driven almost entirely by multiple compression (EV/EBITDA contracted from ~22x to ~17x over the past month) rather than estimate cuts. This creates a potentially favorable setup if Q2 results and AXON onboarding commentary are strong.</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APP vs. IGV (Software ETF) vs. S&amp;P 500 — Indexed to 100 at May 6, 2026 (Q1 Earnings Date). Source: Yahoo Finance / Stock Price Data.</w:t>
      </w:r>
    </w:p>
    <w:p>
      <w:r>
        <w:rPr>
          <w:rFonts w:ascii="Calibri" w:hAnsi="Calibri"/>
          <w:color w:val="525866"/>
          <w:sz w:val="22"/>
        </w:rPr>
        <w:t xml:space="preserve">Since the Q1 2026 earnings date (May 6, 2026), APP has declined approximately 13% to an indexed level of ~87, while the IGV iShares Expanded Tech-Software ETF has rallied ~11% (indexed ~111) and the S&amp;P 500 has gained ~3% (indexed ~103). The underperformance is driven by </w:t>
      </w:r>
      <w:r>
        <w:rPr>
          <w:rFonts w:ascii="Calibri" w:hAnsi="Calibri"/>
          <w:b/>
          <w:color w:val="525866"/>
          <w:sz w:val="22"/>
        </w:rPr>
        <w:t>multiple compression</w:t>
      </w:r>
      <w:r>
        <w:rPr>
          <w:rFonts w:ascii="Calibri" w:hAnsi="Calibri"/>
          <w:color w:val="525866"/>
          <w:sz w:val="22"/>
        </w:rPr>
        <w:t xml:space="preserve"> rather than estimate cuts: the NTM EV/EBITDA multiple has contracted from ~22x to ~17x over the past month alone, while NTM revenue and EBITDA estimates have been broadly flat. The stock’s de-rating likely reflects investor uncertainty about what comes next after the June AXON platform opening — specifically, how quickly self-serve advertisers will ramp — against a backdrop of significant year-to-date underperformance entering the Q1 print. If Q2 results beat and management provides encouraging early data on AXON onboarding, the multiple re-rating potential is meaningful.</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2026 AXON platform general availability launch — the first time in 14 years that AppLovin has opened its platform to the public. Early onboarding data and management commentary on this milestone will be the central focus of the Q2 call.</w:t>
      </w:r>
    </w:p>
    <w:p>
      <w:pPr>
        <w:pStyle w:val="ListBullet"/>
        <w:ind w:left="360" w:hanging="360"/>
      </w:pPr>
      <w:r>
        <w:rPr>
          <w:rFonts w:ascii="Calibri" w:hAnsi="Calibri"/>
          <w:b/>
          <w:color w:val="525866"/>
          <w:sz w:val="22"/>
        </w:rPr>
        <w:t>June 2026 — AXON Platform General Availability Launch (Most Important).</w:t>
      </w:r>
      <w:r>
        <w:rPr>
          <w:rFonts w:ascii="Calibri" w:hAnsi="Calibri"/>
          <w:color w:val="525866"/>
          <w:sz w:val="22"/>
        </w:rPr>
        <w:t xml:space="preserve"> AppLovin opened its AXON advertising platform to the general public for the first time in the company’s 14-year history. Advertisers globally can now sign up for AXON and run campaigns on a self-serve basis. Management projected on the Q1 call that 100,000 new customers in the first year could generate ~$7B in first-year ad spend. The video GenAI creative tool was also expected to roll out to all accounts shortly before the general launch, addressing a key onboarding friction point for advertisers without existing video content. </w:t>
      </w:r>
      <w:r>
        <w:rPr>
          <w:rFonts w:ascii="Calibri" w:hAnsi="Calibri"/>
          <w:b/>
          <w:color w:val="525866"/>
          <w:sz w:val="22"/>
        </w:rPr>
        <w:t xml:space="preserve">Implication: </w:t>
      </w:r>
      <w:r>
        <w:rPr>
          <w:rFonts w:ascii="Calibri" w:hAnsi="Calibri"/>
          <w:color w:val="525866"/>
          <w:sz w:val="22"/>
        </w:rPr>
        <w:t>This is the single most important data point for the Q2 call. Any early metrics on advertiser sign-ups, spend ramp, or retention will be closely scrutinized.</w:t>
      </w:r>
    </w:p>
    <w:p>
      <w:pPr>
        <w:pStyle w:val="ListBullet"/>
        <w:ind w:left="360" w:hanging="360"/>
      </w:pPr>
      <w:r>
        <w:rPr>
          <w:rFonts w:ascii="Calibri" w:hAnsi="Calibri"/>
          <w:b/>
          <w:color w:val="525866"/>
          <w:sz w:val="22"/>
        </w:rPr>
        <w:t>June 9, 2026 — Jefferies Investor Conference Participation.</w:t>
      </w:r>
      <w:r>
        <w:rPr>
          <w:rFonts w:ascii="Calibri" w:hAnsi="Calibri"/>
          <w:color w:val="525866"/>
          <w:sz w:val="22"/>
        </w:rPr>
        <w:t xml:space="preserve"> AppLovin participated in a fireside chat at the 54th Nasdaq &amp; Jefferies Investor Conference. No material financial updates or guidance revisions were disclosed. The event was primarily a brand-building exercise consistent with management’s stated strategy of increasing public visibility ahead of the AXON platform opening.</w:t>
      </w:r>
    </w:p>
    <w:p>
      <w:pPr>
        <w:pStyle w:val="ListBullet"/>
        <w:ind w:left="360" w:hanging="360"/>
      </w:pPr>
      <w:r>
        <w:rPr>
          <w:rFonts w:ascii="Calibri" w:hAnsi="Calibri"/>
          <w:b/>
          <w:color w:val="525866"/>
          <w:sz w:val="22"/>
        </w:rPr>
        <w:t>May 6, 2026 — Q1 2026 Earnings: Beat on All Metrics; Q2 Guidance Above Consensus.</w:t>
      </w:r>
      <w:r>
        <w:rPr>
          <w:rFonts w:ascii="Calibri" w:hAnsi="Calibri"/>
          <w:color w:val="525866"/>
          <w:sz w:val="22"/>
        </w:rPr>
        <w:t xml:space="preserve"> Revenue of $1.842B (+3.9% vs. consensus), Adj. EBITDA of $1.557B (+4.6% vs. consensus), and Adj. EBITDA margin of 84.5% (new company high). Q2 guidance midpoints came in above consensus. Consumer vertical exited Q1 at record monthly spend, with April surpassing any Q4 2025 month — unusual for an advertising business. </w:t>
      </w:r>
      <w:r>
        <w:rPr>
          <w:rFonts w:ascii="Calibri" w:hAnsi="Calibri"/>
          <w:b/>
          <w:color w:val="525866"/>
          <w:sz w:val="22"/>
        </w:rPr>
        <w:t xml:space="preserve">Implication: </w:t>
      </w:r>
      <w:r>
        <w:rPr>
          <w:rFonts w:ascii="Calibri" w:hAnsi="Calibri"/>
          <w:color w:val="525866"/>
          <w:sz w:val="22"/>
        </w:rPr>
        <w:t>Sets a high bar for Q2 but also demonstrates the business’s momentum heading into the AXON launch.</w:t>
      </w:r>
    </w:p>
    <w:p>
      <w:pPr>
        <w:pStyle w:val="ListBullet"/>
        <w:ind w:left="360" w:hanging="360"/>
      </w:pPr>
      <w:r>
        <w:rPr>
          <w:rFonts w:ascii="Calibri" w:hAnsi="Calibri"/>
          <w:b/>
          <w:color w:val="525866"/>
          <w:sz w:val="22"/>
        </w:rPr>
        <w:t>May–July 2026 — Stock Underperformance and Multiple Compression.</w:t>
      </w:r>
      <w:r>
        <w:rPr>
          <w:rFonts w:ascii="Calibri" w:hAnsi="Calibri"/>
          <w:color w:val="525866"/>
          <w:sz w:val="22"/>
        </w:rPr>
        <w:t xml:space="preserve"> Despite the Q1 beat and above-consensus Q2 guidance, APP declined after hours on May 6 and has continued to underperform, falling ~23% over the past month vs. IGV +11% and S&amp;P 500 +3%. NTM EV/EBITDA has compressed from ~22x to ~17x. </w:t>
      </w:r>
      <w:r>
        <w:rPr>
          <w:rFonts w:ascii="Calibri" w:hAnsi="Calibri"/>
          <w:b/>
          <w:color w:val="525866"/>
          <w:sz w:val="22"/>
        </w:rPr>
        <w:t xml:space="preserve">Implication: </w:t>
      </w:r>
      <w:r>
        <w:rPr>
          <w:rFonts w:ascii="Calibri" w:hAnsi="Calibri"/>
          <w:color w:val="525866"/>
          <w:sz w:val="22"/>
        </w:rPr>
        <w:t>The market is pricing in uncertainty about the AXON ramp, creating potential upside asymmetry if Q2 results and onboarding commentary are strong.</w:t>
      </w:r>
    </w:p>
    <w:p>
      <w:pPr>
        <w:pStyle w:val="ListBullet"/>
        <w:ind w:left="360" w:hanging="360"/>
      </w:pPr>
      <w:r>
        <w:rPr>
          <w:rFonts w:ascii="Calibri" w:hAnsi="Calibri"/>
          <w:b/>
          <w:color w:val="525866"/>
          <w:sz w:val="22"/>
        </w:rPr>
        <w:t>Q1 2026 Call — New Strategic Initiatives Disclosed.</w:t>
      </w:r>
      <w:r>
        <w:rPr>
          <w:rFonts w:ascii="Calibri" w:hAnsi="Calibri"/>
          <w:color w:val="525866"/>
          <w:sz w:val="22"/>
        </w:rPr>
        <w:t xml:space="preserve"> Management disclosed active testing of a cost-per-lead model targeting fintech, insurance, auto, and food delivery verticals. Connected TV was explicitly deprioritized in favor of the consumer vertical scale-up (no material financial impact expected in 2026). Social media platform interest was acknowledged (referencing prior TikTok bid) as a talent attraction vehicle. </w:t>
      </w:r>
      <w:r>
        <w:rPr>
          <w:rFonts w:ascii="Calibri" w:hAnsi="Calibri"/>
          <w:b/>
          <w:color w:val="525866"/>
          <w:sz w:val="22"/>
        </w:rPr>
        <w:t xml:space="preserve">Implication: </w:t>
      </w:r>
      <w:r>
        <w:rPr>
          <w:rFonts w:ascii="Calibri" w:hAnsi="Calibri"/>
          <w:color w:val="525866"/>
          <w:sz w:val="22"/>
        </w:rPr>
        <w:t>Lead generation could be the next major revenue driver after e-commerce; watch for any update on testing progress.</w:t>
      </w:r>
    </w:p>
    <w:p>
      <w:r>
        <w:br w:type="page"/>
      </w:r>
    </w:p>
    <w:p>
      <w:pPr>
        <w:pStyle w:val="Heading2"/>
      </w:pPr>
      <w:r>
        <w:rPr>
          <w:rFonts w:ascii="Calibri" w:hAnsi="Calibri"/>
          <w:b/>
          <w:color w:val="3B4259"/>
          <w:sz w:val="28"/>
        </w:rPr>
        <w:t>7. Peer Read-Through Commentary — Last 60 Days (Q2 2026 Reporting Period Only)</w:t>
      </w:r>
    </w:p>
    <w:p>
      <w:r>
        <w:rPr>
          <w:rFonts w:ascii="Calibri" w:hAnsi="Calibri"/>
          <w:b/>
          <w:color w:val="525866"/>
          <w:sz w:val="22"/>
        </w:rPr>
        <w:t xml:space="preserve">Key Takeaway: </w:t>
      </w:r>
      <w:r>
        <w:rPr>
          <w:rFonts w:ascii="Calibri" w:hAnsi="Calibri"/>
          <w:color w:val="525866"/>
          <w:sz w:val="22"/>
        </w:rPr>
        <w:t>Peers reporting Q2 2026 actuals paint a broadly positive picture for digital advertising demand — Meta’s 27% ad revenue growth, Snap’s 56% conversion increase, and Google’s 17% search growth all point to a healthy Q2 ad market. Critically, performance advertising metrics (lower CPIs, higher conversion volumes, strong SMB demand) are directly supportive of APP’s AXON-driven model. The one nuance: World Cup tailwinds benefited Q2 for some peers but will not repeat in Q3.</w:t>
      </w:r>
    </w:p>
    <w:p>
      <w:r>
        <w:rPr>
          <w:rFonts w:ascii="Calibri" w:hAnsi="Calibri"/>
          <w:b/>
          <w:color w:val="525866"/>
          <w:sz w:val="22"/>
        </w:rPr>
        <w:t xml:space="preserve">Note: </w:t>
      </w:r>
      <w:r>
        <w:rPr>
          <w:rFonts w:ascii="Calibri" w:hAnsi="Calibri"/>
          <w:color w:val="525866"/>
          <w:sz w:val="22"/>
        </w:rPr>
        <w:t>All commentary below is sourced exclusively from Q2 2026 earnings calls and releases (reporting on the Q2 2026 period or providing Q3 2026 forward outlook). No prior-quarter commentary is included.</w:t>
      </w:r>
    </w:p>
    <w:p>
      <w:pPr>
        <w:pStyle w:val="Heading3"/>
      </w:pPr>
      <w:r>
        <w:rPr>
          <w:rFonts w:ascii="Calibri" w:hAnsi="Calibri"/>
          <w:b/>
          <w:color w:val="3B4259"/>
          <w:sz w:val="24"/>
        </w:rPr>
        <w:t>Meta Platforms (META) — Q2 2026 Earnings Call (July 29, 2026)</w:t>
      </w:r>
    </w:p>
    <w:p>
      <w:r>
        <w:rPr>
          <w:rFonts w:ascii="Calibri" w:hAnsi="Calibri"/>
          <w:b/>
          <w:color w:val="525866"/>
          <w:sz w:val="22"/>
        </w:rPr>
        <w:t xml:space="preserve">Read-Through: </w:t>
      </w:r>
      <w:r>
        <w:rPr>
          <w:rFonts w:ascii="Calibri" w:hAnsi="Calibri"/>
          <w:color w:val="525866"/>
          <w:sz w:val="22"/>
        </w:rPr>
        <w:t>Strongly Positive for APP’s mobile performance advertising and e-commerce/consumer vertical.</w:t>
      </w:r>
    </w:p>
    <w:p>
      <w:pPr>
        <w:pStyle w:val="ListBullet"/>
        <w:ind w:left="360" w:hanging="360"/>
      </w:pPr>
      <w:r>
        <w:rPr>
          <w:rFonts w:ascii="Calibri" w:hAnsi="Calibri"/>
          <w:b/>
          <w:color w:val="525866"/>
          <w:sz w:val="22"/>
        </w:rPr>
        <w:t xml:space="preserve">Q2 2026 Ad Revenue: </w:t>
      </w:r>
      <w:r>
        <w:rPr>
          <w:rFonts w:ascii="Calibri" w:hAnsi="Calibri"/>
          <w:color w:val="525866"/>
          <w:sz w:val="22"/>
        </w:rPr>
        <w:t>$59.4B, +27% YoY (+26% constant currency). Meta’s CFO noted that “on a dollar basis, our ads business is reporting faster year-over-year revenue growth than any other company’s reported ad business.” This is the strongest signal of broad digital ad market health heading into APP’s Q2 print.</w:t>
      </w:r>
    </w:p>
    <w:p>
      <w:pPr>
        <w:pStyle w:val="ListBullet"/>
        <w:ind w:left="360" w:hanging="360"/>
      </w:pPr>
      <w:r>
        <w:rPr>
          <w:rFonts w:ascii="Calibri" w:hAnsi="Calibri"/>
          <w:b/>
          <w:color w:val="525866"/>
          <w:sz w:val="22"/>
        </w:rPr>
        <w:t xml:space="preserve">Ad Impressions &amp; Pricing: </w:t>
      </w:r>
      <w:r>
        <w:rPr>
          <w:rFonts w:ascii="Calibri" w:hAnsi="Calibri"/>
          <w:color w:val="525866"/>
          <w:sz w:val="22"/>
        </w:rPr>
        <w:t>Total ad impressions +14% YoY; global average price per ad +12% YoY “driven by ad performance gains.” Both volume and pricing growing simultaneously is a strong positive for the overall ad auction environment.</w:t>
      </w:r>
    </w:p>
    <w:p>
      <w:pPr>
        <w:pStyle w:val="ListBullet"/>
        <w:ind w:left="360" w:hanging="360"/>
      </w:pPr>
      <w:r>
        <w:rPr>
          <w:rFonts w:ascii="Calibri" w:hAnsi="Calibri"/>
          <w:b/>
          <w:color w:val="525866"/>
          <w:sz w:val="22"/>
        </w:rPr>
        <w:t xml:space="preserve">AI-Driven Conversion Improvements: </w:t>
      </w:r>
      <w:r>
        <w:rPr>
          <w:rFonts w:ascii="Calibri" w:hAnsi="Calibri"/>
          <w:color w:val="525866"/>
          <w:sz w:val="22"/>
        </w:rPr>
        <w:t>LLM-based ad ranking drove “8.3% increase in ad clicks and a 15.7% uplift in conversions on Facebook.” Early pilots using LLMs to understand user preferences drove a “1% increase in app event conversions on Instagram.” These improvements directly validate APP’s AXON AI model thesis — that AI-driven conversion optimization is the primary lever for revenue growth.</w:t>
      </w:r>
    </w:p>
    <w:p>
      <w:pPr>
        <w:pStyle w:val="ListBullet"/>
        <w:ind w:left="360" w:hanging="360"/>
      </w:pPr>
      <w:r>
        <w:rPr>
          <w:rFonts w:ascii="Calibri" w:hAnsi="Calibri"/>
          <w:b/>
          <w:color w:val="525866"/>
          <w:sz w:val="22"/>
        </w:rPr>
        <w:t xml:space="preserve">SMB Adoption of AI Creative Tools: </w:t>
      </w:r>
      <w:r>
        <w:rPr>
          <w:rFonts w:ascii="Calibri" w:hAnsi="Calibri"/>
          <w:color w:val="525866"/>
          <w:sz w:val="22"/>
        </w:rPr>
        <w:t>“9 million small businesses on our platforms are now using at least one of our AI ad creative tools.” This is directly relevant to APP’s self-serve AXON platform launch, which targets the same SMB advertiser base.</w:t>
      </w:r>
    </w:p>
    <w:p>
      <w:pPr>
        <w:pStyle w:val="ListBullet"/>
        <w:ind w:left="360" w:hanging="360"/>
      </w:pPr>
      <w:r>
        <w:rPr>
          <w:rFonts w:ascii="Calibri" w:hAnsi="Calibri"/>
          <w:b/>
          <w:color w:val="525866"/>
          <w:sz w:val="22"/>
        </w:rPr>
        <w:t xml:space="preserve">Advantage+ AI Solutions: </w:t>
      </w:r>
      <w:r>
        <w:rPr>
          <w:rFonts w:ascii="Calibri" w:hAnsi="Calibri"/>
          <w:color w:val="525866"/>
          <w:sz w:val="22"/>
        </w:rPr>
        <w:t>Meta’s AI-powered end-to-end ad solutions reached “over $75B in annual revenue run rate.” This validates the market size for AI-driven performance advertising that APP is targeting.</w:t>
      </w:r>
    </w:p>
    <w:p>
      <w:pPr>
        <w:pStyle w:val="ListBullet"/>
        <w:ind w:left="360" w:hanging="360"/>
      </w:pPr>
      <w:r>
        <w:rPr>
          <w:rFonts w:ascii="Calibri" w:hAnsi="Calibri"/>
          <w:b/>
          <w:color w:val="525866"/>
          <w:sz w:val="22"/>
        </w:rPr>
        <w:t xml:space="preserve">Q3 2026 Outlook: </w:t>
      </w:r>
      <w:r>
        <w:rPr>
          <w:rFonts w:ascii="Calibri" w:hAnsi="Calibri"/>
          <w:color w:val="525866"/>
          <w:sz w:val="22"/>
        </w:rPr>
        <w:t>Revenue guidance of $61–$64B implies continued strong growth. Meta sees “further headroom to continue improving recommendations over the rest of the year and into 2027.” Positive for the overall ad market backdrop into Q3.</w:t>
      </w:r>
    </w:p>
    <w:p>
      <w:pPr>
        <w:pStyle w:val="Heading3"/>
      </w:pPr>
      <w:r>
        <w:rPr>
          <w:rFonts w:ascii="Calibri" w:hAnsi="Calibri"/>
          <w:b/>
          <w:color w:val="3B4259"/>
          <w:sz w:val="24"/>
        </w:rPr>
        <w:t>Snap Inc. (SNAP) — Q2 2026 Earnings Call (August 3, 2026)</w:t>
      </w:r>
    </w:p>
    <w:p>
      <w:r>
        <w:rPr>
          <w:rFonts w:ascii="Calibri" w:hAnsi="Calibri"/>
          <w:b/>
          <w:color w:val="525866"/>
          <w:sz w:val="22"/>
        </w:rPr>
        <w:t xml:space="preserve">Read-Through: </w:t>
      </w:r>
      <w:r>
        <w:rPr>
          <w:rFonts w:ascii="Calibri" w:hAnsi="Calibri"/>
          <w:color w:val="525866"/>
          <w:sz w:val="22"/>
        </w:rPr>
        <w:t>Positive for APP’s mobile performance advertising and e-commerce/consumer vertical expansion.</w:t>
      </w:r>
    </w:p>
    <w:p>
      <w:pPr>
        <w:pStyle w:val="ListBullet"/>
        <w:ind w:left="360" w:hanging="360"/>
      </w:pPr>
      <w:r>
        <w:rPr>
          <w:rFonts w:ascii="Calibri" w:hAnsi="Calibri"/>
          <w:b/>
          <w:color w:val="525866"/>
          <w:sz w:val="22"/>
        </w:rPr>
        <w:t xml:space="preserve">Q2 2026 Ad Revenue: </w:t>
      </w:r>
      <w:r>
        <w:rPr>
          <w:rFonts w:ascii="Calibri" w:hAnsi="Calibri"/>
          <w:color w:val="525866"/>
          <w:sz w:val="22"/>
        </w:rPr>
        <w:t>$1.28B, +9% YoY. “Better momentum with large advertisers in North America and stronger revenue growth internationally.” Continued strength among SMBs. Positive for the overall mobile ad market.</w:t>
      </w:r>
    </w:p>
    <w:p>
      <w:pPr>
        <w:pStyle w:val="ListBullet"/>
        <w:ind w:left="360" w:hanging="360"/>
      </w:pPr>
      <w:r>
        <w:rPr>
          <w:rFonts w:ascii="Calibri" w:hAnsi="Calibri"/>
          <w:b/>
          <w:color w:val="525866"/>
          <w:sz w:val="22"/>
        </w:rPr>
        <w:t xml:space="preserve">Performance Metrics — Directly Relevant to APP: </w:t>
      </w:r>
      <w:r>
        <w:rPr>
          <w:rFonts w:ascii="Calibri" w:hAnsi="Calibri"/>
          <w:color w:val="525866"/>
          <w:sz w:val="22"/>
        </w:rPr>
        <w:t>Cost per install (CPI) declined 8% YoY; cost per purchase (CPP) declined 18%; app purchase volume increased 128%. These metrics directly reflect the health of the mobile app advertising ecosystem that APP’s gaming vertical depends on. Lower CPIs and higher purchase volumes are unambiguously positive for APP’s advertiser ROI proposition.</w:t>
      </w:r>
    </w:p>
    <w:p>
      <w:pPr>
        <w:pStyle w:val="ListBullet"/>
        <w:ind w:left="360" w:hanging="360"/>
      </w:pPr>
      <w:r>
        <w:rPr>
          <w:rFonts w:ascii="Calibri" w:hAnsi="Calibri"/>
          <w:b/>
          <w:color w:val="525866"/>
          <w:sz w:val="22"/>
        </w:rPr>
        <w:t xml:space="preserve">Conversions +56% YoY: </w:t>
      </w:r>
      <w:r>
        <w:rPr>
          <w:rFonts w:ascii="Calibri" w:hAnsi="Calibri"/>
          <w:color w:val="525866"/>
          <w:sz w:val="22"/>
        </w:rPr>
        <w:t>“All these improvements resulted in a 56% year-over-year increase in conversions across the platform, including app and pixel purchase goals.” This is a strong positive read-through for APP’s conversion-rate-driven revenue model.</w:t>
      </w:r>
    </w:p>
    <w:p>
      <w:pPr>
        <w:pStyle w:val="ListBullet"/>
        <w:ind w:left="360" w:hanging="360"/>
      </w:pPr>
      <w:r>
        <w:rPr>
          <w:rFonts w:ascii="Calibri" w:hAnsi="Calibri"/>
          <w:b/>
          <w:color w:val="525866"/>
          <w:sz w:val="22"/>
        </w:rPr>
        <w:t xml:space="preserve">Dynamic Product Ads (DPA) Revenue +43%: </w:t>
      </w:r>
      <w:r>
        <w:rPr>
          <w:rFonts w:ascii="Calibri" w:hAnsi="Calibri"/>
          <w:color w:val="525866"/>
          <w:sz w:val="22"/>
        </w:rPr>
        <w:t>“Greater adoption by retailers also drove 43% growth in dynamic product ads revenue.” Directly positive for APP’s e-commerce/consumer vertical expansion.</w:t>
      </w:r>
    </w:p>
    <w:p>
      <w:pPr>
        <w:pStyle w:val="ListBullet"/>
        <w:ind w:left="360" w:hanging="360"/>
      </w:pPr>
      <w:r>
        <w:rPr>
          <w:rFonts w:ascii="Calibri" w:hAnsi="Calibri"/>
          <w:b/>
          <w:color w:val="525866"/>
          <w:sz w:val="22"/>
        </w:rPr>
        <w:t xml:space="preserve">AI-Powered Smart Campaign Solutions: </w:t>
      </w:r>
      <w:r>
        <w:rPr>
          <w:rFonts w:ascii="Calibri" w:hAnsi="Calibri"/>
          <w:color w:val="525866"/>
          <w:sz w:val="22"/>
        </w:rPr>
        <w:t>AI increased first-pass image review automation from 40% to nearly 90% YoY, “resulting in faster approvals for advertisers, stronger content safety, and lower operating costs.” Validates the AI-driven efficiency thesis.</w:t>
      </w:r>
    </w:p>
    <w:p>
      <w:pPr>
        <w:pStyle w:val="ListBullet"/>
        <w:ind w:left="360" w:hanging="360"/>
      </w:pPr>
      <w:r>
        <w:rPr>
          <w:rFonts w:ascii="Calibri" w:hAnsi="Calibri"/>
          <w:b/>
          <w:color w:val="525866"/>
          <w:sz w:val="22"/>
        </w:rPr>
        <w:t xml:space="preserve">Q3 2026 Outlook: </w:t>
      </w:r>
      <w:r>
        <w:rPr>
          <w:rFonts w:ascii="Calibri" w:hAnsi="Calibri"/>
          <w:color w:val="525866"/>
          <w:sz w:val="22"/>
        </w:rPr>
        <w:t>Revenue guidance of $1.70–$1.74B. Snap noted “normalization of World Cup related spending” as a headwind, but expects “constructive trends” to continue including large advertiser momentum, SMB strength, and lower-funnel product adoption. The World Cup normalization is a Snap-specific headwind and does not directly affect APP.</w:t>
      </w:r>
    </w:p>
    <w:p>
      <w:pPr>
        <w:pStyle w:val="Heading3"/>
      </w:pPr>
      <w:r>
        <w:rPr>
          <w:rFonts w:ascii="Calibri" w:hAnsi="Calibri"/>
          <w:b/>
          <w:color w:val="3B4259"/>
          <w:sz w:val="24"/>
        </w:rPr>
        <w:t>Alphabet / Google (GOOGL) — Q2 2026 Earnings Call (July 22, 2026)</w:t>
      </w:r>
    </w:p>
    <w:p>
      <w:r>
        <w:rPr>
          <w:rFonts w:ascii="Calibri" w:hAnsi="Calibri"/>
          <w:b/>
          <w:color w:val="525866"/>
          <w:sz w:val="22"/>
        </w:rPr>
        <w:t xml:space="preserve">Read-Through: </w:t>
      </w:r>
      <w:r>
        <w:rPr>
          <w:rFonts w:ascii="Calibri" w:hAnsi="Calibri"/>
          <w:color w:val="525866"/>
          <w:sz w:val="22"/>
        </w:rPr>
        <w:t>Positive for the overall digital ad market; mixed for APP specifically given Google’s competitive position in performance advertising.</w:t>
      </w:r>
    </w:p>
    <w:p>
      <w:pPr>
        <w:pStyle w:val="ListBullet"/>
        <w:ind w:left="360" w:hanging="360"/>
      </w:pPr>
      <w:r>
        <w:rPr>
          <w:rFonts w:ascii="Calibri" w:hAnsi="Calibri"/>
          <w:b/>
          <w:color w:val="525866"/>
          <w:sz w:val="22"/>
        </w:rPr>
        <w:t xml:space="preserve">Q2 2026 Revenue: </w:t>
      </w:r>
      <w:r>
        <w:rPr>
          <w:rFonts w:ascii="Calibri" w:hAnsi="Calibri"/>
          <w:color w:val="525866"/>
          <w:sz w:val="22"/>
        </w:rPr>
        <w:t>Alphabet revenue +24% YoY; Google Services revenues $95B, +15% YoY. Google Search &amp; Other +17% to $63.3B, “with retail and finance driving the largest contributions.” Strong retail and finance ad demand is directly positive for APP’s e-commerce and lead generation verticals.</w:t>
      </w:r>
    </w:p>
    <w:p>
      <w:pPr>
        <w:pStyle w:val="ListBullet"/>
        <w:ind w:left="360" w:hanging="360"/>
      </w:pPr>
      <w:r>
        <w:rPr>
          <w:rFonts w:ascii="Calibri" w:hAnsi="Calibri"/>
          <w:b/>
          <w:color w:val="525866"/>
          <w:sz w:val="22"/>
        </w:rPr>
        <w:t xml:space="preserve">AI Max Adoption: </w:t>
      </w:r>
      <w:r>
        <w:rPr>
          <w:rFonts w:ascii="Calibri" w:hAnsi="Calibri"/>
          <w:color w:val="525866"/>
          <w:sz w:val="22"/>
        </w:rPr>
        <w:t>“Half a million advertisers have already adopted” AI Max (Google’s AI-powered campaign tool). Those adopting AI-powered campaigns “see an average of 15% more conversions or value on search at a similar ROAS.” This validates the market’s appetite for AI-driven performance advertising — the same value proposition APP offers through AXON.</w:t>
      </w:r>
    </w:p>
    <w:p>
      <w:pPr>
        <w:pStyle w:val="ListBullet"/>
        <w:ind w:left="360" w:hanging="360"/>
      </w:pPr>
      <w:r>
        <w:rPr>
          <w:rFonts w:ascii="Calibri" w:hAnsi="Calibri"/>
          <w:b/>
          <w:color w:val="525866"/>
          <w:sz w:val="22"/>
        </w:rPr>
        <w:t xml:space="preserve">Shopping Ads Relevance +20%: </w:t>
      </w:r>
      <w:r>
        <w:rPr>
          <w:rFonts w:ascii="Calibri" w:hAnsi="Calibri"/>
          <w:color w:val="525866"/>
          <w:sz w:val="22"/>
        </w:rPr>
        <w:t>Gemini drove “a 20% improvement in showing highly relevant ads, helping shoppers immediately find the best match.” Positive for the e-commerce ad ecosystem broadly.</w:t>
      </w:r>
    </w:p>
    <w:p>
      <w:pPr>
        <w:pStyle w:val="ListBullet"/>
        <w:ind w:left="360" w:hanging="360"/>
      </w:pPr>
      <w:r>
        <w:rPr>
          <w:rFonts w:ascii="Calibri" w:hAnsi="Calibri"/>
          <w:b/>
          <w:color w:val="525866"/>
          <w:sz w:val="22"/>
        </w:rPr>
        <w:t xml:space="preserve">YouTube Ad Revenue +13% to $11.1B: </w:t>
      </w:r>
      <w:r>
        <w:rPr>
          <w:rFonts w:ascii="Calibri" w:hAnsi="Calibri"/>
          <w:color w:val="525866"/>
          <w:sz w:val="22"/>
        </w:rPr>
        <w:t>“Driven by direct response advertising as well as brand.” SMBs “continue to fuel direct response growth through campaigns like Demand Gen.” Positive for the mobile performance ad market.</w:t>
      </w:r>
    </w:p>
    <w:p>
      <w:pPr>
        <w:pStyle w:val="ListBullet"/>
        <w:ind w:left="360" w:hanging="360"/>
      </w:pPr>
      <w:r>
        <w:rPr>
          <w:rFonts w:ascii="Calibri" w:hAnsi="Calibri"/>
          <w:b/>
          <w:color w:val="525866"/>
          <w:sz w:val="22"/>
        </w:rPr>
        <w:t xml:space="preserve">Network Ad Revenue −1% YoY: </w:t>
      </w:r>
      <w:r>
        <w:rPr>
          <w:rFonts w:ascii="Calibri" w:hAnsi="Calibri"/>
          <w:color w:val="525866"/>
          <w:sz w:val="22"/>
        </w:rPr>
        <w:t>Google’s network (AdMob/AdSense) revenue declined slightly, which could be a mild negative read-through for the broader mobile ad network ecosystem where APP operates. However, APP’s direct-to-advertiser model is structurally different from Google’s network business.</w:t>
      </w:r>
    </w:p>
    <w:p>
      <w:pPr>
        <w:pStyle w:val="ListBullet"/>
        <w:ind w:left="360" w:hanging="360"/>
      </w:pPr>
      <w:r>
        <w:rPr>
          <w:rFonts w:ascii="Calibri" w:hAnsi="Calibri"/>
          <w:b/>
          <w:color w:val="525866"/>
          <w:sz w:val="22"/>
        </w:rPr>
        <w:t xml:space="preserve">Q3 2026 Outlook: </w:t>
      </w:r>
      <w:r>
        <w:rPr>
          <w:rFonts w:ascii="Calibri" w:hAnsi="Calibri"/>
          <w:color w:val="525866"/>
          <w:sz w:val="22"/>
        </w:rPr>
        <w:t>Slight FX headwind expected. Search will face tougher comps as it laps an acceleration that began in Q3 2025. YouTube has an “exciting ads roadmap” with continued opportunities in brand and direct response. Overall positive for the ad market backdrop.</w:t>
      </w:r>
    </w:p>
    <w:p>
      <w:pPr>
        <w:pStyle w:val="Heading3"/>
      </w:pPr>
      <w:r>
        <w:rPr>
          <w:rFonts w:ascii="Calibri" w:hAnsi="Calibri"/>
          <w:b/>
          <w:color w:val="3B4259"/>
          <w:sz w:val="24"/>
        </w:rPr>
        <w:t>Pinterest (PINS) — Q2 2026 Earnings Call (August 4, 2026)</w:t>
      </w:r>
    </w:p>
    <w:p>
      <w:r>
        <w:rPr>
          <w:rFonts w:ascii="Calibri" w:hAnsi="Calibri"/>
          <w:b/>
          <w:color w:val="525866"/>
          <w:sz w:val="22"/>
        </w:rPr>
        <w:t xml:space="preserve">Read-Through: </w:t>
      </w:r>
      <w:r>
        <w:rPr>
          <w:rFonts w:ascii="Calibri" w:hAnsi="Calibri"/>
          <w:color w:val="525866"/>
          <w:sz w:val="22"/>
        </w:rPr>
        <w:t>Positive for APP’s e-commerce/consumer vertical; neutral for gaming.</w:t>
      </w:r>
    </w:p>
    <w:p>
      <w:pPr>
        <w:pStyle w:val="ListBullet"/>
        <w:ind w:left="360" w:hanging="360"/>
      </w:pPr>
      <w:r>
        <w:rPr>
          <w:rFonts w:ascii="Calibri" w:hAnsi="Calibri"/>
          <w:b/>
          <w:color w:val="525866"/>
          <w:sz w:val="22"/>
        </w:rPr>
        <w:t xml:space="preserve">Q2 2026 Revenue: </w:t>
      </w:r>
      <w:r>
        <w:rPr>
          <w:rFonts w:ascii="Calibri" w:hAnsi="Calibri"/>
          <w:color w:val="525866"/>
          <w:sz w:val="22"/>
        </w:rPr>
        <w:t>$1.18B, +18% YoY (+17% constant currency). U.S. &amp; Canada revenue accelerated to +18% YoY (a 5-point acceleration). “Strength in retail as well as smaller but faster-growing emerging verticals including financial services, travel and health.” Broad-based e-commerce and consumer advertiser strength is directly positive for APP’s consumer vertical.</w:t>
      </w:r>
    </w:p>
    <w:p>
      <w:pPr>
        <w:pStyle w:val="ListBullet"/>
        <w:ind w:left="360" w:hanging="360"/>
      </w:pPr>
      <w:r>
        <w:rPr>
          <w:rFonts w:ascii="Calibri" w:hAnsi="Calibri"/>
          <w:b/>
          <w:color w:val="525866"/>
          <w:sz w:val="22"/>
        </w:rPr>
        <w:t xml:space="preserve">Ad Impressions +16%; Pricing +1% YoY: </w:t>
      </w:r>
      <w:r>
        <w:rPr>
          <w:rFonts w:ascii="Calibri" w:hAnsi="Calibri"/>
          <w:color w:val="525866"/>
          <w:sz w:val="22"/>
        </w:rPr>
        <w:t>Both volume and pricing growing, driven by “stronger demand in our U.S. &amp; Canada region.” Healthy auction dynamics.</w:t>
      </w:r>
    </w:p>
    <w:p>
      <w:pPr>
        <w:pStyle w:val="ListBullet"/>
        <w:ind w:left="360" w:hanging="360"/>
      </w:pPr>
      <w:r>
        <w:rPr>
          <w:rFonts w:ascii="Calibri" w:hAnsi="Calibri"/>
          <w:b/>
          <w:color w:val="525866"/>
          <w:sz w:val="22"/>
        </w:rPr>
        <w:t xml:space="preserve">AI-Driven ROAS Improvements: </w:t>
      </w:r>
      <w:r>
        <w:rPr>
          <w:rFonts w:ascii="Calibri" w:hAnsi="Calibri"/>
          <w:color w:val="525866"/>
          <w:sz w:val="22"/>
        </w:rPr>
        <w:t>Updates to ad delivery models “drove a 28% improvement in ROAS during testing for SMB advertisers using Performance Plus with ROAS bidding.” Smart Assembly delivered a “6% improvement in click-through rate on average.” Validates AI-driven performance advertising ROI improvements.</w:t>
      </w:r>
    </w:p>
    <w:p>
      <w:pPr>
        <w:pStyle w:val="ListBullet"/>
        <w:ind w:left="360" w:hanging="360"/>
      </w:pPr>
      <w:r>
        <w:rPr>
          <w:rFonts w:ascii="Calibri" w:hAnsi="Calibri"/>
          <w:b/>
          <w:color w:val="525866"/>
          <w:sz w:val="22"/>
        </w:rPr>
        <w:t xml:space="preserve">Q3 2026 Outlook: </w:t>
      </w:r>
      <w:r>
        <w:rPr>
          <w:rFonts w:ascii="Calibri" w:hAnsi="Calibri"/>
          <w:color w:val="525866"/>
          <w:sz w:val="22"/>
        </w:rPr>
        <w:t>Revenue guidance of $1.19–$1.21B (+13%–15% YoY). Headwinds include FX, Prime Day shift from Q3 to Q2, and World Cup spend normalization. Europe faces continued pressure from Asia-based cross-border retailer regulatory actions. Strong U.S. &amp; Canada growth expected to continue. The deceleration is largely technical/seasonal and does not reflect underlying demand weakness relevant to APP.</w:t>
      </w:r>
    </w:p>
    <w:p>
      <w:r>
        <w:rPr>
          <w:rFonts w:ascii="Calibri" w:hAnsi="Calibri"/>
          <w:color w:val="525866"/>
          <w:sz w:val="22"/>
        </w:rPr>
        <w:t>Source: Meta Q2 2026 Earnings Call Transcript (July 29, 2026); Snap Q2 2026 Earnings Call Transcript (August 3, 2026); Alphabet Q2 2026 Earnings Call Transcript (July 22, 2026); Pinterest Q2 2026 Earnings Call Transcript (August 4,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Q1 earnings date are sales, with the CEO (Arash Foroughi) conducting a cluster of discretionary open-market sales in mid-June that stand out as notable — these were not under a 10b5-1 plan. The CFO and CTO sales were plan-driven. No open-market purchases have been filed. The CEO’s discretionary sales near the $480–$500 range are worth flagging, though the magnitude is modest relative to his total holdings.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Arash Adam Foroughi</w:t>
            </w:r>
          </w:p>
        </w:tc>
        <w:tc>
          <w:tcPr>
            <w:tcW w:type="dxa" w:w="1440"/>
          </w:tcPr>
          <w:p>
            <w:r>
              <w:rPr>
                <w:rFonts w:ascii="Calibri" w:hAnsi="Calibri"/>
                <w:sz w:val="22"/>
              </w:rPr>
              <w:t>CEO, 10% Owner, Director</w:t>
            </w:r>
          </w:p>
        </w:tc>
        <w:tc>
          <w:tcPr>
            <w:tcW w:type="dxa" w:w="1440"/>
          </w:tcPr>
          <w:p>
            <w:r>
              <w:rPr>
                <w:rFonts w:ascii="Calibri" w:hAnsi="Calibri"/>
                <w:sz w:val="22"/>
              </w:rPr>
              <w:t>Open Market Sale</w:t>
            </w:r>
          </w:p>
        </w:tc>
        <w:tc>
          <w:tcPr>
            <w:tcW w:type="dxa" w:w="1440"/>
          </w:tcPr>
          <w:p>
            <w:r>
              <w:rPr>
                <w:rFonts w:ascii="Calibri" w:hAnsi="Calibri"/>
                <w:sz w:val="22"/>
              </w:rPr>
              <w:t>8,624</w:t>
            </w:r>
          </w:p>
        </w:tc>
        <w:tc>
          <w:tcPr>
            <w:tcW w:type="dxa" w:w="1440"/>
          </w:tcPr>
          <w:p>
            <w:r>
              <w:rPr>
                <w:rFonts w:ascii="Calibri" w:hAnsi="Calibri"/>
                <w:sz w:val="22"/>
              </w:rPr>
              <w:t>June 11, 2026</w:t>
            </w:r>
          </w:p>
        </w:tc>
        <w:tc>
          <w:tcPr>
            <w:tcW w:type="dxa" w:w="1440"/>
          </w:tcPr>
          <w:p>
            <w:r>
              <w:rPr>
                <w:rFonts w:ascii="Calibri" w:hAnsi="Calibri"/>
                <w:sz w:val="22"/>
              </w:rPr>
              <w:t>Discretionary sale (NOT 10b5-1). Direct ownership.</w:t>
            </w:r>
          </w:p>
        </w:tc>
      </w:tr>
      <w:tr>
        <w:tc>
          <w:tcPr>
            <w:tcW w:type="dxa" w:w="1440"/>
          </w:tcPr>
          <w:p>
            <w:r>
              <w:rPr>
                <w:rFonts w:ascii="Calibri" w:hAnsi="Calibri"/>
                <w:sz w:val="22"/>
              </w:rPr>
              <w:t>Arash Adam Foroughi</w:t>
            </w:r>
          </w:p>
        </w:tc>
        <w:tc>
          <w:tcPr>
            <w:tcW w:type="dxa" w:w="1440"/>
          </w:tcPr>
          <w:p>
            <w:r>
              <w:rPr>
                <w:rFonts w:ascii="Calibri" w:hAnsi="Calibri"/>
                <w:sz w:val="22"/>
              </w:rPr>
              <w:t>CEO, 10% Owner, Director</w:t>
            </w:r>
          </w:p>
        </w:tc>
        <w:tc>
          <w:tcPr>
            <w:tcW w:type="dxa" w:w="1440"/>
          </w:tcPr>
          <w:p>
            <w:r>
              <w:rPr>
                <w:rFonts w:ascii="Calibri" w:hAnsi="Calibri"/>
                <w:sz w:val="22"/>
              </w:rPr>
              <w:t>Open Market Sale</w:t>
            </w:r>
          </w:p>
        </w:tc>
        <w:tc>
          <w:tcPr>
            <w:tcW w:type="dxa" w:w="1440"/>
          </w:tcPr>
          <w:p>
            <w:r>
              <w:rPr>
                <w:rFonts w:ascii="Calibri" w:hAnsi="Calibri"/>
                <w:sz w:val="22"/>
              </w:rPr>
              <w:t>20,833</w:t>
            </w:r>
          </w:p>
        </w:tc>
        <w:tc>
          <w:tcPr>
            <w:tcW w:type="dxa" w:w="1440"/>
          </w:tcPr>
          <w:p>
            <w:r>
              <w:rPr>
                <w:rFonts w:ascii="Calibri" w:hAnsi="Calibri"/>
                <w:sz w:val="22"/>
              </w:rPr>
              <w:t>June 10, 2026</w:t>
            </w:r>
          </w:p>
        </w:tc>
        <w:tc>
          <w:tcPr>
            <w:tcW w:type="dxa" w:w="1440"/>
          </w:tcPr>
          <w:p>
            <w:r>
              <w:rPr>
                <w:rFonts w:ascii="Calibri" w:hAnsi="Calibri"/>
                <w:sz w:val="22"/>
              </w:rPr>
              <w:t>Discretionary sale (NOT 10b5-1). Indirect ownership.</w:t>
            </w:r>
          </w:p>
        </w:tc>
      </w:tr>
      <w:tr>
        <w:tc>
          <w:tcPr>
            <w:tcW w:type="dxa" w:w="1440"/>
          </w:tcPr>
          <w:p>
            <w:r>
              <w:rPr>
                <w:rFonts w:ascii="Calibri" w:hAnsi="Calibri"/>
                <w:sz w:val="22"/>
              </w:rPr>
              <w:t>Arash Adam Foroughi</w:t>
            </w:r>
          </w:p>
        </w:tc>
        <w:tc>
          <w:tcPr>
            <w:tcW w:type="dxa" w:w="1440"/>
          </w:tcPr>
          <w:p>
            <w:r>
              <w:rPr>
                <w:rFonts w:ascii="Calibri" w:hAnsi="Calibri"/>
                <w:sz w:val="22"/>
              </w:rPr>
              <w:t>CEO, 10% Owner, Director</w:t>
            </w:r>
          </w:p>
        </w:tc>
        <w:tc>
          <w:tcPr>
            <w:tcW w:type="dxa" w:w="1440"/>
          </w:tcPr>
          <w:p>
            <w:r>
              <w:rPr>
                <w:rFonts w:ascii="Calibri" w:hAnsi="Calibri"/>
                <w:sz w:val="22"/>
              </w:rPr>
              <w:t>Open Market Sale</w:t>
            </w:r>
          </w:p>
        </w:tc>
        <w:tc>
          <w:tcPr>
            <w:tcW w:type="dxa" w:w="1440"/>
          </w:tcPr>
          <w:p>
            <w:r>
              <w:rPr>
                <w:rFonts w:ascii="Calibri" w:hAnsi="Calibri"/>
                <w:sz w:val="22"/>
              </w:rPr>
              <w:t>22,544</w:t>
            </w:r>
          </w:p>
        </w:tc>
        <w:tc>
          <w:tcPr>
            <w:tcW w:type="dxa" w:w="1440"/>
          </w:tcPr>
          <w:p>
            <w:r>
              <w:rPr>
                <w:rFonts w:ascii="Calibri" w:hAnsi="Calibri"/>
                <w:sz w:val="22"/>
              </w:rPr>
              <w:t>June 12, 2026</w:t>
            </w:r>
          </w:p>
        </w:tc>
        <w:tc>
          <w:tcPr>
            <w:tcW w:type="dxa" w:w="1440"/>
          </w:tcPr>
          <w:p>
            <w:r>
              <w:rPr>
                <w:rFonts w:ascii="Calibri" w:hAnsi="Calibri"/>
                <w:sz w:val="22"/>
              </w:rPr>
              <w:t>Discretionary sale (NOT 10b5-1). Direct ownership.</w:t>
            </w:r>
          </w:p>
        </w:tc>
      </w:tr>
      <w:tr>
        <w:tc>
          <w:tcPr>
            <w:tcW w:type="dxa" w:w="1440"/>
          </w:tcPr>
          <w:p>
            <w:r>
              <w:rPr>
                <w:rFonts w:ascii="Calibri" w:hAnsi="Calibri"/>
                <w:sz w:val="22"/>
              </w:rPr>
              <w:t>Arash Adam Foroughi</w:t>
            </w:r>
          </w:p>
        </w:tc>
        <w:tc>
          <w:tcPr>
            <w:tcW w:type="dxa" w:w="1440"/>
          </w:tcPr>
          <w:p>
            <w:r>
              <w:rPr>
                <w:rFonts w:ascii="Calibri" w:hAnsi="Calibri"/>
                <w:sz w:val="22"/>
              </w:rPr>
              <w:t>CEO, 10% Owner, Director</w:t>
            </w:r>
          </w:p>
        </w:tc>
        <w:tc>
          <w:tcPr>
            <w:tcW w:type="dxa" w:w="1440"/>
          </w:tcPr>
          <w:p>
            <w:r>
              <w:rPr>
                <w:rFonts w:ascii="Calibri" w:hAnsi="Calibri"/>
                <w:sz w:val="22"/>
              </w:rPr>
              <w:t>Open Market Sale</w:t>
            </w:r>
          </w:p>
        </w:tc>
        <w:tc>
          <w:tcPr>
            <w:tcW w:type="dxa" w:w="1440"/>
          </w:tcPr>
          <w:p>
            <w:r>
              <w:rPr>
                <w:rFonts w:ascii="Calibri" w:hAnsi="Calibri"/>
                <w:sz w:val="22"/>
              </w:rPr>
              <w:t>19,123</w:t>
            </w:r>
          </w:p>
        </w:tc>
        <w:tc>
          <w:tcPr>
            <w:tcW w:type="dxa" w:w="1440"/>
          </w:tcPr>
          <w:p>
            <w:r>
              <w:rPr>
                <w:rFonts w:ascii="Calibri" w:hAnsi="Calibri"/>
                <w:sz w:val="22"/>
              </w:rPr>
              <w:t>June 12, 2026</w:t>
            </w:r>
          </w:p>
        </w:tc>
        <w:tc>
          <w:tcPr>
            <w:tcW w:type="dxa" w:w="1440"/>
          </w:tcPr>
          <w:p>
            <w:r>
              <w:rPr>
                <w:rFonts w:ascii="Calibri" w:hAnsi="Calibri"/>
                <w:sz w:val="22"/>
              </w:rPr>
              <w:t>Discretionary sale (NOT 10b5-1). Direct ownership.</w:t>
            </w:r>
          </w:p>
        </w:tc>
      </w:tr>
      <w:tr>
        <w:tc>
          <w:tcPr>
            <w:tcW w:type="dxa" w:w="1440"/>
          </w:tcPr>
          <w:p>
            <w:r>
              <w:rPr>
                <w:rFonts w:ascii="Calibri" w:hAnsi="Calibri"/>
                <w:sz w:val="22"/>
              </w:rPr>
              <w:t>Arash Adam Foroughi</w:t>
            </w:r>
          </w:p>
        </w:tc>
        <w:tc>
          <w:tcPr>
            <w:tcW w:type="dxa" w:w="1440"/>
          </w:tcPr>
          <w:p>
            <w:r>
              <w:rPr>
                <w:rFonts w:ascii="Calibri" w:hAnsi="Calibri"/>
                <w:sz w:val="22"/>
              </w:rPr>
              <w:t>CEO, 10% Owner, Director</w:t>
            </w:r>
          </w:p>
        </w:tc>
        <w:tc>
          <w:tcPr>
            <w:tcW w:type="dxa" w:w="1440"/>
          </w:tcPr>
          <w:p>
            <w:r>
              <w:rPr>
                <w:rFonts w:ascii="Calibri" w:hAnsi="Calibri"/>
                <w:sz w:val="22"/>
              </w:rPr>
              <w:t>Open Market Sale</w:t>
            </w:r>
          </w:p>
        </w:tc>
        <w:tc>
          <w:tcPr>
            <w:tcW w:type="dxa" w:w="1440"/>
          </w:tcPr>
          <w:p>
            <w:r>
              <w:rPr>
                <w:rFonts w:ascii="Calibri" w:hAnsi="Calibri"/>
                <w:sz w:val="22"/>
              </w:rPr>
              <w:t>33,042</w:t>
            </w:r>
          </w:p>
        </w:tc>
        <w:tc>
          <w:tcPr>
            <w:tcW w:type="dxa" w:w="1440"/>
          </w:tcPr>
          <w:p>
            <w:r>
              <w:rPr>
                <w:rFonts w:ascii="Calibri" w:hAnsi="Calibri"/>
                <w:sz w:val="22"/>
              </w:rPr>
              <w:t>June 11, 2026</w:t>
            </w:r>
          </w:p>
        </w:tc>
        <w:tc>
          <w:tcPr>
            <w:tcW w:type="dxa" w:w="1440"/>
          </w:tcPr>
          <w:p>
            <w:r>
              <w:rPr>
                <w:rFonts w:ascii="Calibri" w:hAnsi="Calibri"/>
                <w:sz w:val="22"/>
              </w:rPr>
              <w:t>Discretionary sale (NOT 10b5-1). Direct ownership.</w:t>
            </w:r>
          </w:p>
        </w:tc>
      </w:tr>
      <w:tr>
        <w:tc>
          <w:tcPr>
            <w:tcW w:type="dxa" w:w="1440"/>
          </w:tcPr>
          <w:p>
            <w:r>
              <w:rPr>
                <w:rFonts w:ascii="Calibri" w:hAnsi="Calibri"/>
                <w:sz w:val="22"/>
              </w:rPr>
              <w:t>Eduardo Vivas</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163,910</w:t>
            </w:r>
          </w:p>
        </w:tc>
        <w:tc>
          <w:tcPr>
            <w:tcW w:type="dxa" w:w="1440"/>
          </w:tcPr>
          <w:p>
            <w:r>
              <w:rPr>
                <w:rFonts w:ascii="Calibri" w:hAnsi="Calibri"/>
                <w:sz w:val="22"/>
              </w:rPr>
              <w:t>June 16, 2026</w:t>
            </w:r>
          </w:p>
        </w:tc>
        <w:tc>
          <w:tcPr>
            <w:tcW w:type="dxa" w:w="1440"/>
          </w:tcPr>
          <w:p>
            <w:r>
              <w:rPr>
                <w:rFonts w:ascii="Calibri" w:hAnsi="Calibri"/>
                <w:sz w:val="22"/>
              </w:rPr>
              <w:t>Pre-planned 10b5-1 sale. Obligation-driven.</w:t>
            </w:r>
          </w:p>
        </w:tc>
      </w:tr>
      <w:tr>
        <w:tc>
          <w:tcPr>
            <w:tcW w:type="dxa" w:w="1440"/>
          </w:tcPr>
          <w:p>
            <w:r>
              <w:rPr>
                <w:rFonts w:ascii="Calibri" w:hAnsi="Calibri"/>
                <w:sz w:val="22"/>
              </w:rPr>
              <w:t>Matthew Stumpf</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9,052</w:t>
            </w:r>
          </w:p>
        </w:tc>
        <w:tc>
          <w:tcPr>
            <w:tcW w:type="dxa" w:w="1440"/>
          </w:tcPr>
          <w:p>
            <w:r>
              <w:rPr>
                <w:rFonts w:ascii="Calibri" w:hAnsi="Calibri"/>
                <w:sz w:val="22"/>
              </w:rPr>
              <w:t>May 28, 2026</w:t>
            </w:r>
          </w:p>
        </w:tc>
        <w:tc>
          <w:tcPr>
            <w:tcW w:type="dxa" w:w="1440"/>
          </w:tcPr>
          <w:p>
            <w:r>
              <w:rPr>
                <w:rFonts w:ascii="Calibri" w:hAnsi="Calibri"/>
                <w:sz w:val="22"/>
              </w:rPr>
              <w:t>Pre-planned 10b5-1 sale. Obligation-driven.</w:t>
            </w:r>
          </w:p>
        </w:tc>
      </w:tr>
      <w:tr>
        <w:tc>
          <w:tcPr>
            <w:tcW w:type="dxa" w:w="1440"/>
          </w:tcPr>
          <w:p>
            <w:r>
              <w:rPr>
                <w:rFonts w:ascii="Calibri" w:hAnsi="Calibri"/>
                <w:sz w:val="22"/>
              </w:rPr>
              <w:t>Vasily Shikin</w:t>
            </w:r>
          </w:p>
        </w:tc>
        <w:tc>
          <w:tcPr>
            <w:tcW w:type="dxa" w:w="1440"/>
          </w:tcPr>
          <w:p>
            <w:r>
              <w:rPr>
                <w:rFonts w:ascii="Calibri" w:hAnsi="Calibri"/>
                <w:sz w:val="22"/>
              </w:rPr>
              <w:t>CTO</w:t>
            </w:r>
          </w:p>
        </w:tc>
        <w:tc>
          <w:tcPr>
            <w:tcW w:type="dxa" w:w="1440"/>
          </w:tcPr>
          <w:p>
            <w:r>
              <w:rPr>
                <w:rFonts w:ascii="Calibri" w:hAnsi="Calibri"/>
                <w:sz w:val="22"/>
              </w:rPr>
              <w:t>10b5-1 Planned Sale</w:t>
            </w:r>
          </w:p>
        </w:tc>
        <w:tc>
          <w:tcPr>
            <w:tcW w:type="dxa" w:w="1440"/>
          </w:tcPr>
          <w:p>
            <w:r>
              <w:rPr>
                <w:rFonts w:ascii="Calibri" w:hAnsi="Calibri"/>
                <w:sz w:val="22"/>
              </w:rPr>
              <w:t>62,804</w:t>
            </w:r>
          </w:p>
        </w:tc>
        <w:tc>
          <w:tcPr>
            <w:tcW w:type="dxa" w:w="1440"/>
          </w:tcPr>
          <w:p>
            <w:r>
              <w:rPr>
                <w:rFonts w:ascii="Calibri" w:hAnsi="Calibri"/>
                <w:sz w:val="22"/>
              </w:rPr>
              <w:t>May 22, 2026</w:t>
            </w:r>
          </w:p>
        </w:tc>
        <w:tc>
          <w:tcPr>
            <w:tcW w:type="dxa" w:w="1440"/>
          </w:tcPr>
          <w:p>
            <w:r>
              <w:rPr>
                <w:rFonts w:ascii="Calibri" w:hAnsi="Calibri"/>
                <w:sz w:val="22"/>
              </w:rPr>
              <w:t>Pre-planned 10b5-1 sale. Obligation-driven.</w:t>
            </w:r>
          </w:p>
        </w:tc>
      </w:tr>
      <w:tr>
        <w:tc>
          <w:tcPr>
            <w:tcW w:type="dxa" w:w="1440"/>
          </w:tcPr>
          <w:p>
            <w:r>
              <w:rPr>
                <w:rFonts w:ascii="Calibri" w:hAnsi="Calibri"/>
                <w:sz w:val="22"/>
              </w:rPr>
              <w:t>Vasily Shikin</w:t>
            </w:r>
          </w:p>
        </w:tc>
        <w:tc>
          <w:tcPr>
            <w:tcW w:type="dxa" w:w="1440"/>
          </w:tcPr>
          <w:p>
            <w:r>
              <w:rPr>
                <w:rFonts w:ascii="Calibri" w:hAnsi="Calibri"/>
                <w:sz w:val="22"/>
              </w:rPr>
              <w:t>CTO</w:t>
            </w:r>
          </w:p>
        </w:tc>
        <w:tc>
          <w:tcPr>
            <w:tcW w:type="dxa" w:w="1440"/>
          </w:tcPr>
          <w:p>
            <w:r>
              <w:rPr>
                <w:rFonts w:ascii="Calibri" w:hAnsi="Calibri"/>
                <w:sz w:val="22"/>
              </w:rPr>
              <w:t>10b5-1 Planned Sale</w:t>
            </w:r>
          </w:p>
        </w:tc>
        <w:tc>
          <w:tcPr>
            <w:tcW w:type="dxa" w:w="1440"/>
          </w:tcPr>
          <w:p>
            <w:r>
              <w:rPr>
                <w:rFonts w:ascii="Calibri" w:hAnsi="Calibri"/>
                <w:sz w:val="22"/>
              </w:rPr>
              <w:t>15,915</w:t>
            </w:r>
          </w:p>
        </w:tc>
        <w:tc>
          <w:tcPr>
            <w:tcW w:type="dxa" w:w="1440"/>
          </w:tcPr>
          <w:p>
            <w:r>
              <w:rPr>
                <w:rFonts w:ascii="Calibri" w:hAnsi="Calibri"/>
                <w:sz w:val="22"/>
              </w:rPr>
              <w:t>May 22, 2026</w:t>
            </w:r>
          </w:p>
        </w:tc>
        <w:tc>
          <w:tcPr>
            <w:tcW w:type="dxa" w:w="1440"/>
          </w:tcPr>
          <w:p>
            <w:r>
              <w:rPr>
                <w:rFonts w:ascii="Calibri" w:hAnsi="Calibri"/>
                <w:sz w:val="22"/>
              </w:rPr>
              <w:t>Pre-planned 10b5-1 sale. Indirect ownership. Obligation-driven.</w:t>
            </w:r>
          </w:p>
        </w:tc>
      </w:tr>
      <w:tr>
        <w:tc>
          <w:tcPr>
            <w:tcW w:type="dxa" w:w="1440"/>
          </w:tcPr>
          <w:p>
            <w:r>
              <w:rPr>
                <w:rFonts w:ascii="Calibri" w:hAnsi="Calibri"/>
                <w:sz w:val="22"/>
              </w:rPr>
              <w:t>Vasily Shikin</w:t>
            </w:r>
          </w:p>
        </w:tc>
        <w:tc>
          <w:tcPr>
            <w:tcW w:type="dxa" w:w="1440"/>
          </w:tcPr>
          <w:p>
            <w:r>
              <w:rPr>
                <w:rFonts w:ascii="Calibri" w:hAnsi="Calibri"/>
                <w:sz w:val="22"/>
              </w:rPr>
              <w:t>CTO</w:t>
            </w:r>
          </w:p>
        </w:tc>
        <w:tc>
          <w:tcPr>
            <w:tcW w:type="dxa" w:w="1440"/>
          </w:tcPr>
          <w:p>
            <w:r>
              <w:rPr>
                <w:rFonts w:ascii="Calibri" w:hAnsi="Calibri"/>
                <w:sz w:val="22"/>
              </w:rPr>
              <w:t>10b5-1 Planned Sale</w:t>
            </w:r>
          </w:p>
        </w:tc>
        <w:tc>
          <w:tcPr>
            <w:tcW w:type="dxa" w:w="1440"/>
          </w:tcPr>
          <w:p>
            <w:r>
              <w:rPr>
                <w:rFonts w:ascii="Calibri" w:hAnsi="Calibri"/>
                <w:sz w:val="22"/>
              </w:rPr>
              <w:t>2,889</w:t>
            </w:r>
          </w:p>
        </w:tc>
        <w:tc>
          <w:tcPr>
            <w:tcW w:type="dxa" w:w="1440"/>
          </w:tcPr>
          <w:p>
            <w:r>
              <w:rPr>
                <w:rFonts w:ascii="Calibri" w:hAnsi="Calibri"/>
                <w:sz w:val="22"/>
              </w:rPr>
              <w:t>May 22, 2026</w:t>
            </w:r>
          </w:p>
        </w:tc>
        <w:tc>
          <w:tcPr>
            <w:tcW w:type="dxa" w:w="1440"/>
          </w:tcPr>
          <w:p>
            <w:r>
              <w:rPr>
                <w:rFonts w:ascii="Calibri" w:hAnsi="Calibri"/>
                <w:sz w:val="22"/>
              </w:rPr>
              <w:t>Pre-planned 10b5-1 sale. Indirect ownership. Obligation-driven.</w:t>
            </w:r>
          </w:p>
        </w:tc>
      </w:tr>
      <w:tr>
        <w:tc>
          <w:tcPr>
            <w:tcW w:type="dxa" w:w="1440"/>
          </w:tcPr>
          <w:p>
            <w:r>
              <w:rPr>
                <w:rFonts w:ascii="Calibri" w:hAnsi="Calibri"/>
                <w:sz w:val="22"/>
              </w:rPr>
              <w:t>Maynard G. Webb Jr.</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3,076</w:t>
            </w:r>
          </w:p>
        </w:tc>
        <w:tc>
          <w:tcPr>
            <w:tcW w:type="dxa" w:w="1440"/>
          </w:tcPr>
          <w:p>
            <w:r>
              <w:rPr>
                <w:rFonts w:ascii="Calibri" w:hAnsi="Calibri"/>
                <w:sz w:val="22"/>
              </w:rPr>
              <w:t>June 5, 2026</w:t>
            </w:r>
          </w:p>
        </w:tc>
        <w:tc>
          <w:tcPr>
            <w:tcW w:type="dxa" w:w="1440"/>
          </w:tcPr>
          <w:p>
            <w:r>
              <w:rPr>
                <w:rFonts w:ascii="Calibri" w:hAnsi="Calibri"/>
                <w:sz w:val="22"/>
              </w:rPr>
              <w:t>Pre-planned 10b5-1 sale. Indirect ownership. Obligation-driven.</w:t>
            </w:r>
          </w:p>
        </w:tc>
      </w:tr>
      <w:tr>
        <w:tc>
          <w:tcPr>
            <w:tcW w:type="dxa" w:w="1440"/>
          </w:tcPr>
          <w:p>
            <w:r>
              <w:rPr>
                <w:rFonts w:ascii="Calibri" w:hAnsi="Calibri"/>
                <w:sz w:val="22"/>
              </w:rPr>
              <w:t>Maynard G. Webb Jr.</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3,076</w:t>
            </w:r>
          </w:p>
        </w:tc>
        <w:tc>
          <w:tcPr>
            <w:tcW w:type="dxa" w:w="1440"/>
          </w:tcPr>
          <w:p>
            <w:r>
              <w:rPr>
                <w:rFonts w:ascii="Calibri" w:hAnsi="Calibri"/>
                <w:sz w:val="22"/>
              </w:rPr>
              <w:t>July 6, 2026</w:t>
            </w:r>
          </w:p>
        </w:tc>
        <w:tc>
          <w:tcPr>
            <w:tcW w:type="dxa" w:w="1440"/>
          </w:tcPr>
          <w:p>
            <w:r>
              <w:rPr>
                <w:rFonts w:ascii="Calibri" w:hAnsi="Calibri"/>
                <w:sz w:val="22"/>
              </w:rPr>
              <w:t>Pre-planned 10b5-1 sale. Indirect ownership. Obligation-driven.</w:t>
            </w:r>
          </w:p>
        </w:tc>
      </w:tr>
    </w:tbl>
    <w:p>
      <w:r>
        <w:rPr>
          <w:rFonts w:ascii="Calibri" w:hAnsi="Calibri"/>
          <w:color w:val="525866"/>
          <w:sz w:val="22"/>
        </w:rPr>
        <w:t>Source: SEC Form 4 Filings (Insider Transaction Data). Filing dates used for window. Open-market codes P/S only.</w:t>
      </w:r>
    </w:p>
    <w:p>
      <w:r>
        <w:rPr>
          <w:rFonts w:ascii="Calibri" w:hAnsi="Calibri"/>
          <w:color w:val="525866"/>
          <w:sz w:val="22"/>
        </w:rPr>
        <w:t xml:space="preserve">The most notable item is the cluster of </w:t>
      </w:r>
      <w:r>
        <w:rPr>
          <w:rFonts w:ascii="Calibri" w:hAnsi="Calibri"/>
          <w:b/>
          <w:color w:val="525866"/>
          <w:sz w:val="22"/>
        </w:rPr>
        <w:t>five discretionary (non-10b5-1) open-market sales by CEO Arash Foroughi</w:t>
      </w:r>
      <w:r>
        <w:rPr>
          <w:rFonts w:ascii="Calibri" w:hAnsi="Calibri"/>
          <w:color w:val="525866"/>
          <w:sz w:val="22"/>
        </w:rPr>
        <w:t xml:space="preserve"> on June 10–12, 2026, totaling approximately 104,166 shares. These sales occurred at prices in the $480–$500 range (based on the stock price at that time), shortly after the AXON platform opened to the public. While the CEO retains a very large position (~2.3–2.4M shares direct + additional indirect holdings), the discretionary nature of these sales — not pre-planned under a 10b5-1 program — is worth flagging. All other insider transactions (CFO, CTO, Directors) were pre-planned 10b5-1 sales and are routine/obligation-driven.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