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APTV before writing the preview. Let me gather recent filings, transcripts, news, and price data.The tools show a one-year offset in the financial-documents fiscal labels. Let me read the most recently reported quarter and the Investor Day to build the preview basis.I have what I need. Below is the earnings preview, built from Aptiv's most recent report (Q1 2026, its final quarter as "Total Aptiv"), its Q2/full-year guidance, and recent trading. Note: this is the first quarter Aptiv reports as "New Aptiv" following the April 1 spin-off of its EDS business into Versigent.</w:t>
      </w:r>
    </w:p>
    <w:p>
      <w:r>
        <w:pict>
          <v:rect style="width:0;height:1.5pt" o:hralign="center" o:hrstd="t" o:hr="t"/>
        </w:pict>
      </w:r>
    </w:p>
    <w:bookmarkStart w:id="17" w:name="aptiv-aptv--q2-2026-earnings-preview"/>
    <w:p>
      <w:pPr>
        <w:pStyle w:val="Heading1"/>
      </w:pPr>
      <w:r>
        <w:t xml:space="preserve">Aptiv (APTV) — Q2 2026 Earnings Preview</w:t>
      </w:r>
    </w:p>
    <w:bookmarkStart w:id="9" w:name="Xacc351e94b2de4b59e65624132196ecdb582c9d"/>
    <w:p>
      <w:pPr>
        <w:pStyle w:val="Heading3"/>
      </w:pPr>
      <w:r>
        <w:t xml:space="preserve">Reports before market open, Aug 4, 2026 | First quarter as a standalone "New Aptiv"</w:t>
      </w:r>
    </w:p>
    <w:bookmarkEnd w:id="9"/>
    <w:bookmarkStart w:id="10" w:name="the-one-thing-that-matters"/>
    <w:p>
      <w:pPr>
        <w:pStyle w:val="Heading2"/>
      </w:pPr>
      <w:r>
        <w:t xml:space="preserve">The one thing that matters</w:t>
      </w:r>
    </w:p>
    <w:p>
      <w:pPr>
        <w:pStyle w:val="FirstParagraph"/>
      </w:pPr>
      <w:r>
        <w:t xml:space="preserve">This is the first "clean" quarter for</w:t>
      </w:r>
      <w:r>
        <w:t xml:space="preserve"> </w:t>
      </w:r>
      <w:r>
        <w:rPr>
          <w:b/>
          <w:bCs/>
        </w:rPr>
        <w:t xml:space="preserve">New Aptiv</w:t>
      </w:r>
      <w:r>
        <w:t xml:space="preserve"> </w:t>
      </w:r>
      <w:r>
        <w:t xml:space="preserve">— the two remaining segments (Intelligent Systems and Engineered Components) after the April 1 spin-off of the Electrical Distribution Systems (EDS) business into</w:t>
      </w:r>
      <w:r>
        <w:t xml:space="preserve"> </w:t>
      </w:r>
      <w:r>
        <w:rPr>
          <w:b/>
          <w:bCs/>
        </w:rPr>
        <w:t xml:space="preserve">Versigent</w:t>
      </w:r>
      <w:r>
        <w:t xml:space="preserve">. EDS now sits in discontinued operations, so the P&amp;L, growth algorithm, and margin profile all reset. The debate going into the print:</w:t>
      </w:r>
      <w:r>
        <w:t xml:space="preserve"> </w:t>
      </w:r>
      <w:r>
        <w:rPr>
          <w:b/>
          <w:bCs/>
        </w:rPr>
        <w:t xml:space="preserve">can Aptiv deliver the promised second-half reacceleration</w:t>
      </w:r>
      <w:r>
        <w:t xml:space="preserve"> </w:t>
      </w:r>
      <w:r>
        <w:t xml:space="preserve">(guide implies growth building from ~flat in Q1 to +4% for the year)</w:t>
      </w:r>
      <w:r>
        <w:t xml:space="preserve"> </w:t>
      </w:r>
      <w:r>
        <w:rPr>
          <w:b/>
          <w:bCs/>
        </w:rPr>
        <w:t xml:space="preserve">while absorbing a fresh wave of commodity inflation?</w:t>
      </w:r>
      <w:r>
        <w:t xml:space="preserve"> </w:t>
      </w:r>
      <w:r>
        <w:t xml:space="preserve">Management held guidance last quarter; the market wants proof the ramp is real.</w:t>
      </w:r>
    </w:p>
    <w:bookmarkEnd w:id="10"/>
    <w:bookmarkStart w:id="11" w:name="what-guidance-implies-for-q2"/>
    <w:p>
      <w:pPr>
        <w:pStyle w:val="Heading2"/>
      </w:pPr>
      <w:r>
        <w:t xml:space="preserve">What guidance implies for Q2</w:t>
      </w:r>
    </w:p>
    <w:p>
      <w:pPr>
        <w:pStyle w:val="FirstParagraph"/>
      </w:pPr>
      <w:r>
        <w:t xml:space="preserve">Management's Q2 2026 framework (New Aptiv, pro forma ex-EDS):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2026 Guide (range)</w:t>
            </w:r>
          </w:p>
        </w:tc>
        <w:tc>
          <w:tcPr/>
          <w:p>
            <w:pPr>
              <w:pStyle w:val="Compact"/>
            </w:pPr>
            <w:r>
              <w:t xml:space="preserve">Midpoint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$3.20B – $3.40B</w:t>
            </w:r>
          </w:p>
        </w:tc>
        <w:tc>
          <w:tcPr/>
          <w:p>
            <w:pPr>
              <w:pStyle w:val="Compact"/>
            </w:pPr>
            <w:r>
              <w:t xml:space="preserve">~$3.3B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$555M – $605M</w:t>
            </w:r>
          </w:p>
        </w:tc>
        <w:tc>
          <w:tcPr/>
          <w:p>
            <w:pPr>
              <w:pStyle w:val="Compact"/>
            </w:pPr>
            <w:r>
              <w:t xml:space="preserve">$580M (17.6% margin)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$1.30 – $1.50</w:t>
            </w:r>
          </w:p>
        </w:tc>
        <w:tc>
          <w:tcPr/>
          <w:p>
            <w:pPr>
              <w:pStyle w:val="Compact"/>
            </w:pPr>
            <w:r>
              <w:t xml:space="preserve">$1.40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tax rate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~18.5%</w:t>
            </w:r>
          </w:p>
        </w:tc>
      </w:tr>
    </w:tbl>
    <w:p>
      <w:pPr>
        <w:pStyle w:val="BodyText"/>
      </w:pPr>
      <w:r>
        <w:t xml:space="preserve">Guidance calls for</w:t>
      </w:r>
      <w:r>
        <w:t xml:space="preserve"> </w:t>
      </w:r>
      <w:r>
        <w:rPr>
          <w:b/>
          <w:bCs/>
        </w:rPr>
        <w:t xml:space="preserve">~2% adjusted revenue growth</w:t>
      </w:r>
      <w:r>
        <w:t xml:space="preserve"> </w:t>
      </w:r>
      <w:r>
        <w:t xml:space="preserve">in Q2 — a modest step up from roughly flat in Q1, with the bigger acceleration back-half weighted.</w:t>
      </w:r>
    </w:p>
    <w:bookmarkEnd w:id="11"/>
    <w:bookmarkStart w:id="12" w:name="Xf87304f5914cbdff6ba0d8251be0ff5590828df"/>
    <w:p>
      <w:pPr>
        <w:pStyle w:val="Heading2"/>
      </w:pPr>
      <w:r>
        <w:t xml:space="preserve">Full-year 2026 bar (what a beat/raise is measured against)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FY2026 Guide</w:t>
            </w:r>
          </w:p>
        </w:tc>
        <w:tc>
          <w:tcPr/>
          <w:p>
            <w:pPr>
              <w:pStyle w:val="Compact"/>
            </w:pPr>
            <w:r>
              <w:t xml:space="preserve">Midpoint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$12.8B – $13.2B</w:t>
            </w:r>
          </w:p>
        </w:tc>
        <w:tc>
          <w:tcPr/>
          <w:p>
            <w:pPr>
              <w:pStyle w:val="Compact"/>
            </w:pPr>
            <w:r>
              <w:t xml:space="preserve">~$13.0B (~4% adj. growth)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$2.36B – $2.48B</w:t>
            </w:r>
          </w:p>
        </w:tc>
        <w:tc>
          <w:tcPr/>
          <w:p>
            <w:pPr>
              <w:pStyle w:val="Compact"/>
            </w:pPr>
            <w:r>
              <w:t xml:space="preserve">~$2.42B (18.6% margin)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$5.70 – $6.10</w:t>
            </w:r>
          </w:p>
        </w:tc>
        <w:tc>
          <w:tcPr/>
          <w:p>
            <w:pPr>
              <w:pStyle w:val="Compact"/>
            </w:pPr>
            <w:r>
              <w:t xml:space="preserve">~$5.90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$650M – $850M</w:t>
            </w:r>
          </w:p>
        </w:tc>
        <w:tc>
          <w:tcPr/>
          <w:p>
            <w:pPr>
              <w:pStyle w:val="Compact"/>
            </w:pPr>
            <w:r>
              <w:t xml:space="preserve">~$750M</w:t>
            </w:r>
          </w:p>
        </w:tc>
      </w:tr>
    </w:tbl>
    <w:p>
      <w:pPr>
        <w:pStyle w:val="BodyText"/>
      </w:pPr>
      <w:r>
        <w:t xml:space="preserve">The full-year revenue guide bakes in an explicit H1→H2 acceleration bridge management laid out:</w:t>
      </w:r>
      <w:r>
        <w:t xml:space="preserve"> </w:t>
      </w:r>
      <w:r>
        <w:rPr>
          <w:b/>
          <w:bCs/>
        </w:rPr>
        <w:t xml:space="preserve">~100 bps</w:t>
      </w:r>
      <w:r>
        <w:t xml:space="preserve"> </w:t>
      </w:r>
      <w:r>
        <w:t xml:space="preserve">from better vehicle production,</w:t>
      </w:r>
      <w:r>
        <w:t xml:space="preserve"> </w:t>
      </w:r>
      <w:r>
        <w:rPr>
          <w:b/>
          <w:bCs/>
        </w:rPr>
        <w:t xml:space="preserve">~150 bps</w:t>
      </w:r>
      <w:r>
        <w:t xml:space="preserve"> </w:t>
      </w:r>
      <w:r>
        <w:t xml:space="preserve">from the roll-off of company-specific headwinds (a North American customer's supplier-fire production loss and 2025 China program cancellations that anniversary mid-year), and</w:t>
      </w:r>
      <w:r>
        <w:t xml:space="preserve"> </w:t>
      </w:r>
      <w:r>
        <w:rPr>
          <w:b/>
          <w:bCs/>
        </w:rPr>
        <w:t xml:space="preserve">~300 bps</w:t>
      </w:r>
      <w:r>
        <w:t xml:space="preserve"> </w:t>
      </w:r>
      <w:r>
        <w:t xml:space="preserve">from the timing of new program launches/ramps. Management flagged the launch/ramp piece as where they overlay the most conservatism — so</w:t>
      </w:r>
      <w:r>
        <w:t xml:space="preserve"> </w:t>
      </w:r>
      <w:r>
        <w:rPr>
          <w:b/>
          <w:bCs/>
        </w:rPr>
        <w:t xml:space="preserve">execution on 2H launches is the key swing factor</w:t>
      </w:r>
      <w:r>
        <w:t xml:space="preserve">, and any slippage (especially in China) would be the fastest way to miss the year.</w:t>
      </w:r>
    </w:p>
    <w:bookmarkEnd w:id="12"/>
    <w:bookmarkStart w:id="13" w:name="key-things-to-watch-on-the-call"/>
    <w:p>
      <w:pPr>
        <w:pStyle w:val="Heading2"/>
      </w:pPr>
      <w:r>
        <w:t xml:space="preserve">Key things to watch on the call</w:t>
      </w:r>
    </w:p>
    <w:p>
      <w:pPr>
        <w:pStyle w:val="FirstParagraph"/>
      </w:pPr>
      <w:r>
        <w:rPr>
          <w:b/>
          <w:bCs/>
        </w:rPr>
        <w:t xml:space="preserve">1. Does the reacceleration show up in Q2?</w:t>
      </w:r>
      <w:r>
        <w:t xml:space="preserve"> </w:t>
      </w:r>
      <w:r>
        <w:t xml:space="preserve">Q1 was held back by ~250 bps of headwinds in Intelligent Systems (China program cancellations + the North American supplier fire). Management said China revenue should turn</w:t>
      </w:r>
      <w:r>
        <w:t xml:space="preserve"> </w:t>
      </w:r>
      <w:r>
        <w:rPr>
          <w:b/>
          <w:bCs/>
        </w:rPr>
        <w:t xml:space="preserve">positive in Q2</w:t>
      </w:r>
      <w:r>
        <w:t xml:space="preserve"> </w:t>
      </w:r>
      <w:r>
        <w:t xml:space="preserve">and that the customer-fire impact partially recovers in 2H. Confirmation of that inflection is the single most important data point.</w:t>
      </w:r>
    </w:p>
    <w:p>
      <w:pPr>
        <w:pStyle w:val="BodyText"/>
      </w:pPr>
      <w:r>
        <w:rPr>
          <w:b/>
          <w:bCs/>
        </w:rPr>
        <w:t xml:space="preserve">2. Commodity/input-cost inflation vs. offsets.</w:t>
      </w:r>
      <w:r>
        <w:t xml:space="preserve"> </w:t>
      </w:r>
      <w:r>
        <w:t xml:space="preserve">Management called out incremental inflation in</w:t>
      </w:r>
      <w:r>
        <w:t xml:space="preserve"> </w:t>
      </w:r>
      <w:r>
        <w:rPr>
          <w:b/>
          <w:bCs/>
        </w:rPr>
        <w:t xml:space="preserve">copper, gold, silver, and oil-based resins</w:t>
      </w:r>
      <w:r>
        <w:t xml:space="preserve"> </w:t>
      </w:r>
      <w:r>
        <w:t xml:space="preserve">tied to the Middle East conflict — roughly</w:t>
      </w:r>
      <w:r>
        <w:t xml:space="preserve"> </w:t>
      </w:r>
      <w:r>
        <w:rPr>
          <w:b/>
          <w:bCs/>
        </w:rPr>
        <w:t xml:space="preserve">+50–60 bps of incremental FX/commodity headwind</w:t>
      </w:r>
      <w:r>
        <w:t xml:space="preserve"> </w:t>
      </w:r>
      <w:r>
        <w:t xml:space="preserve">vs. the prior guide, front-loaded into 1H. They insist they can offset via performance initiatives plus customer pass-throughs (citing a 95–100% historical recovery rate), and note recoveries lag ~3–4 months, landing in 2H. Watch whether the offset is holding or whether margin guidance gets pressured.</w:t>
      </w:r>
    </w:p>
    <w:p>
      <w:pPr>
        <w:pStyle w:val="BodyText"/>
      </w:pPr>
      <w:r>
        <w:rPr>
          <w:b/>
          <w:bCs/>
        </w:rPr>
        <w:t xml:space="preserve">3. Bookings momentum.</w:t>
      </w:r>
      <w:r>
        <w:t xml:space="preserve"> </w:t>
      </w:r>
      <w:r>
        <w:t xml:space="preserve">Q1 New Aptiv bookings were</w:t>
      </w:r>
      <w:r>
        <w:t xml:space="preserve"> </w:t>
      </w:r>
      <m:oMath>
        <m:r>
          <m:t>4.6</m:t>
        </m:r>
        <m:r>
          <m:t>B</m:t>
        </m:r>
        <m:r>
          <m:rPr>
            <m:sty m:val="p"/>
          </m:rPr>
          <m:t>(</m:t>
        </m:r>
        <m:r>
          <m:t> </m:t>
        </m:r>
        <m:r>
          <m:t>15</m:t>
        </m:r>
      </m:oMath>
      <w:r>
        <w:t xml:space="preserve">900M non-automotive. Management reiterated a</w:t>
      </w:r>
      <w:r>
        <w:t xml:space="preserve"> </w:t>
      </w:r>
      <w:r>
        <w:rPr>
          <w:b/>
          <w:bCs/>
        </w:rPr>
        <w:t xml:space="preserve">&gt;$20B full-year bookings target</w:t>
      </w:r>
      <w:r>
        <w:t xml:space="preserve">. A strong Q2 bookings number — particularly in ADAS/next-gen architecture wins and non-auto (aerospace/defense, robotics, drones, data center, energy storage) — validates the growth-reacceleration thesis and the "New Aptiv" diversification story.</w:t>
      </w:r>
    </w:p>
    <w:p>
      <w:pPr>
        <w:pStyle w:val="BodyText"/>
      </w:pPr>
      <w:r>
        <w:rPr>
          <w:b/>
          <w:bCs/>
        </w:rPr>
        <w:t xml:space="preserve">4. The diversification metrics.</w:t>
      </w:r>
      <w:r>
        <w:t xml:space="preserve"> </w:t>
      </w:r>
      <w:r>
        <w:t xml:space="preserve">Non-automotive grew high-single digits and software &amp; services grew double digits in Q1. These are the pillars of the standalone equity story (targeting the higher end of a 4–7% long-term growth range through 2028). Look for continued double-digit software growth, which is also seasonally 2H-weighted.</w:t>
      </w:r>
    </w:p>
    <w:p>
      <w:pPr>
        <w:pStyle w:val="BodyText"/>
      </w:pPr>
      <w:r>
        <w:rPr>
          <w:b/>
          <w:bCs/>
        </w:rPr>
        <w:t xml:space="preserve">5. Stranded costs and separation cleanup.</w:t>
      </w:r>
      <w:r>
        <w:t xml:space="preserve"> </w:t>
      </w:r>
      <w:r>
        <w:t xml:space="preserve">New Aptiv carries **~</w:t>
      </w:r>
      <m:oMath>
        <m:r>
          <m:t>70</m:t>
        </m:r>
        <m:r>
          <m:t>M</m:t>
        </m:r>
        <m:r>
          <m:t>o</m:t>
        </m:r>
        <m:r>
          <m:t>f</m:t>
        </m:r>
        <m:r>
          <m:t>a</m:t>
        </m:r>
        <m:r>
          <m:t>n</m:t>
        </m:r>
        <m:r>
          <m:t>n</m:t>
        </m:r>
        <m:r>
          <m:t>u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d</m:t>
        </m:r>
        <m:r>
          <m:t>s</m:t>
        </m:r>
        <m:r>
          <m:t>t</m:t>
        </m:r>
        <m:r>
          <m:t>r</m:t>
        </m:r>
        <m:r>
          <m:t>a</m:t>
        </m:r>
        <m:r>
          <m:t>n</m:t>
        </m:r>
        <m:r>
          <m:t>d</m:t>
        </m:r>
        <m:r>
          <m:t>e</m:t>
        </m:r>
        <m:r>
          <m:t>d</m:t>
        </m:r>
        <m:r>
          <m:t>c</m:t>
        </m:r>
        <m:r>
          <m:t>o</m:t>
        </m:r>
        <m:r>
          <m:t>s</m:t>
        </m:r>
        <m:r>
          <m:t>t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t</m:t>
        </m:r>
        <m:r>
          <m:t>a</m:t>
        </m:r>
        <m:r>
          <m:t>i</m:t>
        </m:r>
        <m:r>
          <m:t>m</m:t>
        </m:r>
        <m:r>
          <m:t>s</m:t>
        </m:r>
        <m:r>
          <m:t>t</m:t>
        </m:r>
        <m:r>
          <m:t>o</m:t>
        </m:r>
        <m:r>
          <m:t>e</m:t>
        </m:r>
        <m:r>
          <m:t>l</m:t>
        </m:r>
        <m:r>
          <m:t>i</m:t>
        </m:r>
        <m:r>
          <m:t>m</m:t>
        </m:r>
        <m:r>
          <m:t>i</m:t>
        </m:r>
        <m:r>
          <m:t>n</m:t>
        </m:r>
        <m:r>
          <m:t>a</m:t>
        </m:r>
        <m:r>
          <m:t>t</m:t>
        </m:r>
        <m:r>
          <m:t>e</m:t>
        </m:r>
        <m:r>
          <m:t>b</m:t>
        </m:r>
        <m:r>
          <m:t>y</m:t>
        </m:r>
        <m:r>
          <m:t>e</m:t>
        </m:r>
        <m:r>
          <m:t>n</m:t>
        </m:r>
        <m:r>
          <m:t>d</m:t>
        </m:r>
        <m:r>
          <m:rPr>
            <m:sty m:val="p"/>
          </m:rPr>
          <m:t>−</m:t>
        </m:r>
        <m:r>
          <m:t>2027</m:t>
        </m:r>
        <m:r>
          <m:rPr>
            <m:sty m:val="p"/>
          </m:rPr>
          <m:t>,</m:t>
        </m:r>
        <m:r>
          <m:t>p</m:t>
        </m:r>
        <m:r>
          <m:t>l</m:t>
        </m:r>
        <m:r>
          <m:t>u</m:t>
        </m:r>
        <m:r>
          <m:t>s</m:t>
        </m:r>
        <m:r>
          <m:t> </m:t>
        </m:r>
      </m:oMath>
      <w:r>
        <w:t xml:space="preserve">100M of separation costs expected in Q2 (with ~$80M of tax-related payments to be recouped later in the year). These weigh on near-term FCF; watch the cost-out cadence.</w:t>
      </w:r>
    </w:p>
    <w:p>
      <w:pPr>
        <w:pStyle w:val="BodyText"/>
      </w:pPr>
      <w:r>
        <w:rPr>
          <w:b/>
          <w:bCs/>
        </w:rPr>
        <w:t xml:space="preserve">6. Capital allocation.</w:t>
      </w:r>
      <w:r>
        <w:t xml:space="preserve"> </w:t>
      </w:r>
      <w:r>
        <w:t xml:space="preserve">Post-spin balance sheet:</w:t>
      </w:r>
      <w:r>
        <w:t xml:space="preserve"> </w:t>
      </w:r>
      <w:r>
        <w:rPr>
          <w:b/>
          <w:bCs/>
        </w:rPr>
        <w:t xml:space="preserve">~1.9x net / 2.3x gross leverage</w:t>
      </w:r>
      <w:r>
        <w:t xml:space="preserve"> </w:t>
      </w:r>
      <w:r>
        <w:t xml:space="preserve">after paying down ~</w:t>
      </w:r>
      <m:oMath>
        <m:r>
          <m:t>2.1</m:t>
        </m:r>
        <m:r>
          <m:t>B</m:t>
        </m:r>
        <m:r>
          <m:t>o</m:t>
        </m:r>
        <m:r>
          <m:t>f</m:t>
        </m:r>
        <m:r>
          <m:t>d</m:t>
        </m:r>
        <m:r>
          <m:t>e</m:t>
        </m:r>
        <m:r>
          <m:t>b</m:t>
        </m:r>
        <m:r>
          <m:t>t</m:t>
        </m:r>
        <m:r>
          <m:rPr>
            <m:sty m:val="p"/>
          </m:rPr>
          <m:t>(</m:t>
        </m:r>
        <m:r>
          <m:t>f</m:t>
        </m:r>
        <m:r>
          <m:t>u</m:t>
        </m:r>
        <m:r>
          <m:t>n</m:t>
        </m:r>
        <m:r>
          <m:t>d</m:t>
        </m:r>
        <m:r>
          <m:t>e</m:t>
        </m:r>
        <m:r>
          <m:t>d</m:t>
        </m:r>
        <m:r>
          <m:t>l</m:t>
        </m:r>
        <m:r>
          <m:t>a</m:t>
        </m:r>
        <m:r>
          <m:t>r</m:t>
        </m:r>
        <m:r>
          <m:t>g</m:t>
        </m:r>
        <m:r>
          <m:t>e</m:t>
        </m:r>
        <m:r>
          <m:t>l</m:t>
        </m:r>
        <m:r>
          <m:t>y</m:t>
        </m:r>
        <m:r>
          <m:t>b</m:t>
        </m:r>
        <m:r>
          <m:t>y</m:t>
        </m:r>
        <m:r>
          <m:t>a</m:t>
        </m:r>
        <m:r>
          <m:t> </m:t>
        </m:r>
      </m:oMath>
      <w:r>
        <w:t xml:space="preserve">1.65B dividend from Versigent). Aptiv bought back</w:t>
      </w:r>
      <w:r>
        <w:t xml:space="preserve"> </w:t>
      </w:r>
      <m:oMath>
        <m:r>
          <m:t>75</m:t>
        </m:r>
        <m:r>
          <m:t>M</m:t>
        </m:r>
        <m:r>
          <m:t>o</m:t>
        </m:r>
        <m:r>
          <m:t>f</m:t>
        </m:r>
        <m:r>
          <m:t>s</m:t>
        </m:r>
        <m:r>
          <m:t>t</m:t>
        </m:r>
        <m:r>
          <m:t>o</m:t>
        </m:r>
        <m:r>
          <m:t>c</m:t>
        </m:r>
        <m:r>
          <m:t>k</m:t>
        </m:r>
        <m:r>
          <m:t>i</m:t>
        </m:r>
        <m:r>
          <m:t>n</m:t>
        </m:r>
        <m:r>
          <m:t>Q</m:t>
        </m:r>
        <m:r>
          <m:t>1</m:t>
        </m:r>
        <m:r>
          <m:t>w</m:t>
        </m:r>
        <m:r>
          <m:t>i</m:t>
        </m:r>
        <m:r>
          <m:t>t</m:t>
        </m:r>
        <m:r>
          <m:t>h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t xml:space="preserve">2.0B remaining** on a $5.0B authorization, and diluted share count has already fallen to ~214M from ~230M a year ago. Management flagged</w:t>
      </w:r>
      <w:r>
        <w:t xml:space="preserve"> </w:t>
      </w:r>
      <w:r>
        <w:rPr>
          <w:b/>
          <w:bCs/>
        </w:rPr>
        <w:t xml:space="preserve">bolt-on M&amp;A</w:t>
      </w:r>
      <w:r>
        <w:t xml:space="preserve"> </w:t>
      </w:r>
      <w:r>
        <w:t xml:space="preserve">(industrial/non-auto, sales-force and TAM-expanding deals) as a 2026 priority alongside buybacks — any commentary on deal pipeline or an accelerated repurchase would be a catalyst.</w:t>
      </w:r>
    </w:p>
    <w:bookmarkEnd w:id="13"/>
    <w:bookmarkStart w:id="14" w:name="the-setup--positioning"/>
    <w:p>
      <w:pPr>
        <w:pStyle w:val="Heading2"/>
      </w:pPr>
      <w:r>
        <w:t xml:space="preserve">The setup / positioning</w:t>
      </w:r>
    </w:p>
    <w:p>
      <w:pPr>
        <w:pStyle w:val="FirstParagraph"/>
      </w:pPr>
      <w:r>
        <w:t xml:space="preserve">Aptiv shares have been volatile: they sold off hard into the spring on tariff/macro fears (into the high-</w:t>
      </w:r>
      <m:oMath>
        <m:r>
          <m:t>40</m:t>
        </m:r>
        <m:r>
          <m:t>s</m:t>
        </m:r>
        <m:r>
          <m:rPr>
            <m:sty m:val="p"/>
          </m:rPr>
          <m:t>)</m:t>
        </m:r>
        <m:r>
          <m:t>b</m:t>
        </m:r>
        <m:r>
          <m:t>e</m:t>
        </m:r>
        <m:r>
          <m:t>f</m:t>
        </m:r>
        <m:r>
          <m:t>o</m:t>
        </m:r>
        <m:r>
          <m:t>r</m:t>
        </m:r>
        <m:r>
          <m:t>e</m:t>
        </m:r>
        <m:r>
          <m:t>r</m:t>
        </m:r>
        <m:r>
          <m:t>e</m:t>
        </m:r>
        <m:r>
          <m:t>c</m:t>
        </m:r>
        <m:r>
          <m:t>o</m:t>
        </m:r>
        <m:r>
          <m:t>v</m:t>
        </m:r>
        <m:r>
          <m:t>e</m:t>
        </m:r>
        <m:r>
          <m:t>r</m:t>
        </m:r>
        <m:r>
          <m:t>i</m:t>
        </m:r>
        <m:r>
          <m:t>n</m:t>
        </m:r>
        <m:r>
          <m:t>g</m:t>
        </m:r>
        <m:r>
          <m:t>i</m:t>
        </m:r>
        <m:r>
          <m:t>n</m:t>
        </m:r>
        <m:r>
          <m:t>t</m:t>
        </m:r>
        <m:r>
          <m:t>o</m:t>
        </m:r>
        <m:r>
          <m:t>t</m:t>
        </m:r>
        <m:r>
          <m:t>h</m:t>
        </m:r>
        <m:r>
          <m:t>e</m:t>
        </m:r>
        <m:r>
          <m:t>h</m:t>
        </m:r>
        <m:r>
          <m:t>i</m:t>
        </m:r>
        <m:r>
          <m:t>g</m:t>
        </m:r>
        <m:r>
          <m:t>h</m:t>
        </m:r>
        <m:r>
          <m:rPr>
            <m:sty m:val="p"/>
          </m:rPr>
          <m:t>−</m:t>
        </m:r>
      </m:oMath>
      <w:r>
        <w:t xml:space="preserve">60s over the summer, then softening to the mid-$60s heading into the print. That leaves the stock roughly middling on the year and reflects investor skepticism about the 2H ramp and auto-production demand. Because the buy-side already knows the year is back-half loaded,</w:t>
      </w:r>
      <w:r>
        <w:t xml:space="preserve"> </w:t>
      </w:r>
      <w:r>
        <w:rPr>
          <w:b/>
          <w:bCs/>
        </w:rPr>
        <w:t xml:space="preserve">the reaction likely hinges less on the Q2 headline and more on (a) confirmation that China/launches are inflecting, (b) whether FY guidance is maintained/raised despite commodity creep, and (c) bookings.</w:t>
      </w:r>
      <w:r>
        <w:t xml:space="preserve"> </w:t>
      </w:r>
      <w:r>
        <w:t xml:space="preserve">A maintained full-year with visible 2H proof points would likely be received well given depressed sentiment; a launch delay or guidance trim on commodities would hit a stock the market is already treating with caution.</w:t>
      </w:r>
    </w:p>
    <w:bookmarkEnd w:id="14"/>
    <w:bookmarkStart w:id="15" w:name="recent-quarter-scorecard-context"/>
    <w:p>
      <w:pPr>
        <w:pStyle w:val="Heading2"/>
      </w:pPr>
      <w:r>
        <w:t xml:space="preserve">Recent quarter scorecard (context)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Q1 2026 (Total Aptiv, final combined quarter):</w:t>
      </w:r>
      <w:r>
        <w:t xml:space="preserve"> </w:t>
      </w:r>
      <w:r>
        <w:t xml:space="preserve">Revenue $5.09B (+5% GAAP, +1% adjusted); Adjusted EBITDA $752M (14.8% margin, down 90 bps on ~180 bps of FX/commodity drag);</w:t>
      </w:r>
      <w:r>
        <w:t xml:space="preserve"> </w:t>
      </w:r>
      <w:r>
        <w:rPr>
          <w:b/>
          <w:bCs/>
        </w:rPr>
        <w:t xml:space="preserve">record adjusted EPS of $1.71</w:t>
      </w:r>
      <w:r>
        <w:t xml:space="preserve"> </w:t>
      </w:r>
      <w:r>
        <w:t xml:space="preserve">(aided by lower interest expense and share count).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Segments:</w:t>
      </w:r>
      <w:r>
        <w:t xml:space="preserve"> </w:t>
      </w:r>
      <w:r>
        <w:t xml:space="preserve">Intelligent Systems $1.43B (+1%, EBITDA margin down on FX/commodities + investment); Engineered Components $1.66B (+5% GAAP / flat adjusted); EDS $2.21B (+3% adjusted, now discontinued ops).</w:t>
      </w:r>
    </w:p>
    <w:p>
      <w:pPr>
        <w:pStyle w:val="Compact"/>
        <w:numPr>
          <w:ilvl w:val="0"/>
          <w:numId w:val="1001"/>
        </w:numPr>
      </w:pPr>
      <w:r>
        <w:t xml:space="preserve">FCF was **negative</w:t>
      </w:r>
      <w:r>
        <w:t xml:space="preserve"> </w:t>
      </w:r>
      <m:oMath>
        <m:r>
          <m:t>362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n</m:t>
        </m:r>
        <m:r>
          <m:t>Q</m:t>
        </m:r>
        <m:r>
          <m:t>1</m:t>
        </m:r>
        <m:r>
          <m:rPr>
            <m:sty m:val="p"/>
          </m:rPr>
          <m:t>,</m:t>
        </m:r>
        <m:r>
          <m:t>w</m:t>
        </m:r>
        <m:r>
          <m:t>e</m:t>
        </m:r>
        <m:r>
          <m:t>i</m:t>
        </m:r>
        <m:r>
          <m:t>g</m:t>
        </m:r>
        <m:r>
          <m:t>h</m:t>
        </m:r>
        <m:r>
          <m:t>e</m:t>
        </m:r>
        <m:r>
          <m:t>d</m:t>
        </m:r>
        <m:r>
          <m:t>b</m:t>
        </m:r>
        <m:r>
          <m:t>y</m:t>
        </m:r>
        <m:r>
          <m:t> </m:t>
        </m:r>
      </m:oMath>
      <w:r>
        <w:t xml:space="preserve">260M of transaction payments — seasonally the low point, with the year still guided to ~$750M.</w:t>
      </w:r>
    </w:p>
    <w:bookmarkEnd w:id="15"/>
    <w:bookmarkStart w:id="16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Investors should treat this as a</w:t>
      </w:r>
      <w:r>
        <w:t xml:space="preserve"> </w:t>
      </w:r>
      <w:r>
        <w:rPr>
          <w:b/>
          <w:bCs/>
        </w:rPr>
        <w:t xml:space="preserve">"prove-it" quarter</w:t>
      </w:r>
      <w:r>
        <w:t xml:space="preserve"> </w:t>
      </w:r>
      <w:r>
        <w:t xml:space="preserve">for the newly slimmed-down Aptiv. The numbers themselves (Q2 midpoint ~$3.3B sales /</w:t>
      </w:r>
      <w:r>
        <w:t xml:space="preserve"> </w:t>
      </w:r>
      <m:oMath>
        <m:r>
          <m:t>1.40</m:t>
        </m:r>
        <m:r>
          <m:t>E</m:t>
        </m:r>
        <m:r>
          <m:t>P</m:t>
        </m:r>
        <m:r>
          <m:t>S</m:t>
        </m:r>
        <m:r>
          <m:rPr>
            <m:sty m:val="p"/>
          </m:rPr>
          <m:t>)</m:t>
        </m:r>
        <m:r>
          <m:t>a</m:t>
        </m:r>
        <m:r>
          <m:t>r</m:t>
        </m:r>
        <m:r>
          <m:t>e</m:t>
        </m:r>
        <m:r>
          <m:t>l</m:t>
        </m:r>
        <m:r>
          <m:t>e</m:t>
        </m:r>
        <m:r>
          <m:t>s</m:t>
        </m:r>
        <m:r>
          <m:t>s</m:t>
        </m:r>
        <m:r>
          <m:t>i</m:t>
        </m:r>
        <m:r>
          <m:t>m</m:t>
        </m:r>
        <m:r>
          <m:t>p</m:t>
        </m:r>
        <m:r>
          <m:t>o</m:t>
        </m:r>
        <m:r>
          <m:t>r</m:t>
        </m:r>
        <m:r>
          <m:t>t</m:t>
        </m:r>
        <m:r>
          <m:t>a</m:t>
        </m:r>
        <m:r>
          <m:t>n</m:t>
        </m:r>
        <m:r>
          <m:t>t</m:t>
        </m:r>
        <m:r>
          <m:t>t</m:t>
        </m:r>
        <m:r>
          <m:t>h</m:t>
        </m:r>
        <m:r>
          <m:t>a</m:t>
        </m:r>
        <m:r>
          <m:t>n</m:t>
        </m:r>
        <m:r>
          <m:t>t</m:t>
        </m:r>
        <m:r>
          <m:t>h</m:t>
        </m:r>
        <m:r>
          <m:t>e</m:t>
        </m:r>
        <m:r>
          <m:t>q</m:t>
        </m:r>
        <m:r>
          <m:t>u</m:t>
        </m:r>
        <m:r>
          <m:t>a</m:t>
        </m:r>
        <m:r>
          <m:t>l</m:t>
        </m:r>
        <m:r>
          <m:t>i</m:t>
        </m:r>
        <m:r>
          <m:t>t</m:t>
        </m:r>
        <m:r>
          <m:t>a</m:t>
        </m:r>
        <m:r>
          <m:t>t</m:t>
        </m:r>
        <m:r>
          <m:t>i</m:t>
        </m:r>
        <m:r>
          <m:t>v</m:t>
        </m:r>
        <m:r>
          <m:t>e</m:t>
        </m:r>
        <m:r>
          <m:t>m</m:t>
        </m:r>
        <m:r>
          <m:t>a</m:t>
        </m:r>
        <m:r>
          <m:t>r</m:t>
        </m:r>
        <m:r>
          <m:t>k</m:t>
        </m:r>
        <m:r>
          <m:t>e</m:t>
        </m:r>
        <m:r>
          <m:t>r</m:t>
        </m:r>
        <m:r>
          <m:t>s</m:t>
        </m:r>
        <m:r>
          <m:rPr>
            <m:sty m:val="p"/>
          </m:rPr>
          <m:t>:</m:t>
        </m:r>
        <m:r>
          <m:t>C</m:t>
        </m:r>
        <m:r>
          <m:t>h</m:t>
        </m:r>
        <m:r>
          <m:t>i</m:t>
        </m:r>
        <m:r>
          <m:t>n</m:t>
        </m:r>
        <m:r>
          <m:t>a</m:t>
        </m:r>
        <m:r>
          <m:t>t</m:t>
        </m:r>
        <m:r>
          <m:t>u</m:t>
        </m:r>
        <m:r>
          <m:t>r</m:t>
        </m:r>
        <m:r>
          <m:t>n</m:t>
        </m:r>
        <m:r>
          <m:t>i</m:t>
        </m:r>
        <m:r>
          <m:t>n</m:t>
        </m:r>
        <m:r>
          <m:t>g</m:t>
        </m:r>
        <m:r>
          <m:t>p</m:t>
        </m:r>
        <m:r>
          <m:t>o</m:t>
        </m:r>
        <m:r>
          <m:t>s</m:t>
        </m:r>
        <m:r>
          <m:t>i</m:t>
        </m:r>
        <m:r>
          <m:t>t</m:t>
        </m:r>
        <m:r>
          <m:t>i</m:t>
        </m:r>
        <m:r>
          <m:t>v</m:t>
        </m:r>
        <m:r>
          <m:t>e</m:t>
        </m:r>
        <m:r>
          <m:rPr>
            <m:sty m:val="p"/>
          </m:rPr>
          <m:t>,</m:t>
        </m:r>
        <m:r>
          <m:t>t</m:t>
        </m:r>
        <m:r>
          <m:t>h</m:t>
        </m:r>
        <m:r>
          <m:t>e</m:t>
        </m:r>
        <m:r>
          <m:t>f</m:t>
        </m:r>
        <m:r>
          <m:t>i</m:t>
        </m:r>
        <m:r>
          <m:t>r</m:t>
        </m:r>
        <m:r>
          <m:t>e</m:t>
        </m:r>
        <m:r>
          <m:rPr>
            <m:sty m:val="p"/>
          </m:rPr>
          <m:t>−</m:t>
        </m:r>
        <m:r>
          <m:t>a</m:t>
        </m:r>
        <m:r>
          <m:t>f</m:t>
        </m:r>
        <m:r>
          <m:t>f</m:t>
        </m:r>
        <m:r>
          <m:t>e</m:t>
        </m:r>
        <m:r>
          <m:t>c</m:t>
        </m:r>
        <m:r>
          <m:t>t</m:t>
        </m:r>
        <m:r>
          <m:t>e</m:t>
        </m:r>
        <m:r>
          <m:t>d</m:t>
        </m:r>
        <m:r>
          <m:t>c</m:t>
        </m:r>
        <m:r>
          <m:t>u</m:t>
        </m:r>
        <m:r>
          <m:t>s</m:t>
        </m:r>
        <m:r>
          <m:t>t</m:t>
        </m:r>
        <m:r>
          <m:t>o</m:t>
        </m:r>
        <m:r>
          <m:t>m</m:t>
        </m:r>
        <m:r>
          <m:t>e</m:t>
        </m:r>
        <m:r>
          <m:t>r</m:t>
        </m:r>
        <m:r>
          <m:t>r</m:t>
        </m:r>
        <m:r>
          <m:t>e</m:t>
        </m:r>
        <m:r>
          <m:t>c</m:t>
        </m:r>
        <m:r>
          <m:t>o</m:t>
        </m:r>
        <m:r>
          <m:t>v</m:t>
        </m:r>
        <m:r>
          <m:t>e</m:t>
        </m:r>
        <m:r>
          <m:t>r</m:t>
        </m:r>
        <m:r>
          <m:t>i</m:t>
        </m:r>
        <m:r>
          <m:t>n</m:t>
        </m:r>
        <m:r>
          <m:t>g</m:t>
        </m:r>
        <m:r>
          <m:rPr>
            <m:sty m:val="p"/>
          </m:rPr>
          <m:t>,</m:t>
        </m:r>
        <m:r>
          <m:t>o</m:t>
        </m:r>
        <m:r>
          <m:t>n</m:t>
        </m:r>
        <m:r>
          <m:rPr>
            <m:sty m:val="p"/>
          </m:rPr>
          <m:t>−</m:t>
        </m:r>
        <m:r>
          <m:t>t</m:t>
        </m:r>
        <m:r>
          <m:t>i</m:t>
        </m:r>
        <m:r>
          <m:t>m</m:t>
        </m:r>
        <m:r>
          <m:t>e</m:t>
        </m:r>
        <m:r>
          <m:t>2</m:t>
        </m:r>
        <m:r>
          <m:t>H</m:t>
        </m:r>
        <m:r>
          <m:t>l</m:t>
        </m:r>
        <m:r>
          <m:t>a</m:t>
        </m:r>
        <m:r>
          <m:t>u</m:t>
        </m:r>
        <m:r>
          <m:t>n</m:t>
        </m:r>
        <m:r>
          <m:t>c</m:t>
        </m:r>
        <m:r>
          <m:t>h</m:t>
        </m:r>
        <m:r>
          <m:t>e</m:t>
        </m:r>
        <m:r>
          <m:t>s</m:t>
        </m:r>
        <m:r>
          <m:rPr>
            <m:sty m:val="p"/>
          </m:rPr>
          <m:t>,</m:t>
        </m:r>
        <m:r>
          <m:t>s</m:t>
        </m:r>
        <m:r>
          <m:t>u</m:t>
        </m:r>
        <m:r>
          <m:t>s</m:t>
        </m:r>
        <m:r>
          <m:t>t</m:t>
        </m:r>
        <m:r>
          <m:t>a</m:t>
        </m:r>
        <m:r>
          <m:t>i</m:t>
        </m:r>
        <m:r>
          <m:t>n</m:t>
        </m:r>
        <m:r>
          <m:t>e</m:t>
        </m:r>
        <m:r>
          <m:t>d</m:t>
        </m:r>
        <m:r>
          <m:t>d</m:t>
        </m:r>
        <m:r>
          <m:t>o</m:t>
        </m:r>
        <m:r>
          <m:t>u</m:t>
        </m:r>
        <m:r>
          <m:t>b</m:t>
        </m:r>
        <m:r>
          <m:t>l</m:t>
        </m:r>
        <m:r>
          <m:t>e</m:t>
        </m:r>
        <m:r>
          <m:rPr>
            <m:sty m:val="p"/>
          </m:rPr>
          <m:t>−</m:t>
        </m:r>
        <m:r>
          <m:t>d</m:t>
        </m:r>
        <m:r>
          <m:t>i</m:t>
        </m:r>
        <m:r>
          <m:t>g</m:t>
        </m:r>
        <m:r>
          <m:t>i</m:t>
        </m:r>
        <m:r>
          <m:t>t</m:t>
        </m:r>
        <m:r>
          <m:t>s</m:t>
        </m:r>
        <m:r>
          <m:t>o</m:t>
        </m:r>
        <m:r>
          <m:t>f</m:t>
        </m:r>
        <m:r>
          <m:t>t</m:t>
        </m:r>
        <m:r>
          <m:t>w</m:t>
        </m:r>
        <m:r>
          <m:t>a</m:t>
        </m:r>
        <m:r>
          <m:t>r</m:t>
        </m:r>
        <m:r>
          <m:t>e</m:t>
        </m:r>
        <m:r>
          <m:t>a</m:t>
        </m:r>
        <m:r>
          <m:t>n</m:t>
        </m:r>
        <m:r>
          <m:t>d</m:t>
        </m:r>
        <m:r>
          <m:t>n</m:t>
        </m:r>
        <m:r>
          <m:t>o</m:t>
        </m:r>
        <m:r>
          <m:t>n</m:t>
        </m:r>
        <m:r>
          <m:rPr>
            <m:sty m:val="p"/>
          </m:rPr>
          <m:t>−</m:t>
        </m:r>
        <m:r>
          <m:t>a</m:t>
        </m:r>
        <m:r>
          <m:t>u</m:t>
        </m:r>
        <m:r>
          <m:t>t</m:t>
        </m:r>
        <m:r>
          <m:t>o</m:t>
        </m:r>
        <m:r>
          <m:t>g</m:t>
        </m:r>
        <m:r>
          <m:t>r</m:t>
        </m:r>
        <m:r>
          <m:t>o</m:t>
        </m:r>
        <m:r>
          <m:t>w</m:t>
        </m:r>
        <m:r>
          <m:t>t</m:t>
        </m:r>
        <m:r>
          <m:t>h</m:t>
        </m:r>
        <m:r>
          <m:rPr>
            <m:sty m:val="p"/>
          </m:rPr>
          <m:t>,</m:t>
        </m:r>
        <m:r>
          <m:t>b</m:t>
        </m:r>
        <m:r>
          <m:t>o</m:t>
        </m:r>
        <m:r>
          <m:t>o</m:t>
        </m:r>
        <m:r>
          <m:t>k</m:t>
        </m:r>
        <m:r>
          <m:t>i</m:t>
        </m:r>
        <m:r>
          <m:t>n</m:t>
        </m:r>
        <m:r>
          <m:t>g</m:t>
        </m:r>
        <m:r>
          <m:t>s</m:t>
        </m:r>
        <m:r>
          <m:t>t</m:t>
        </m:r>
        <m:r>
          <m:t>r</m:t>
        </m:r>
        <m:r>
          <m:t>a</m:t>
        </m:r>
        <m:r>
          <m:t>c</m:t>
        </m:r>
        <m:r>
          <m:t>k</m:t>
        </m:r>
        <m:r>
          <m:t>i</m:t>
        </m:r>
        <m:r>
          <m:t>n</m:t>
        </m:r>
        <m:r>
          <m:t>g</m:t>
        </m:r>
        <m:r>
          <m:t>t</m:t>
        </m:r>
        <m:r>
          <m:t>o</m:t>
        </m:r>
        <m:r>
          <m:t>w</m:t>
        </m:r>
        <m:r>
          <m:t>a</m:t>
        </m:r>
        <m:r>
          <m:t>r</m:t>
        </m:r>
        <m:r>
          <m:t>d</m:t>
        </m:r>
        <m:r>
          <m:rPr>
            <m:sty m:val="p"/>
          </m:rPr>
          <m:t>&gt;</m:t>
        </m:r>
      </m:oMath>
      <w:r>
        <w:t xml:space="preserve">20B, and a full-year guide held (or nudged up) despite rising copper/resin costs. Also watch capital-allocation signals — buyback pace and any bolt-on M&amp;A — as the standalone free-cash-flow story is central to the bull case.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Note on the data: the financial-documents source labels Aptiv's most recent reported period as "Q1 2026" (its last combined quarter, with the EDS/Versigent spin completing April 1). All figures above are drawn from that release/call and the associated Q2/FY guidance. I did not incorporate any actual Q2 results into this preview.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2026-08-04T00:24:44Z</dcterms:created>
  <dcterms:modified xsi:type="dcterms:W3CDTF">2026-08-04T00:24:44Z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