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tv-earnings-predictions--2026-08-04"/>
    <w:p>
      <w:pPr>
        <w:pStyle w:val="Heading1"/>
      </w:pPr>
      <w:r>
        <w:t xml:space="preserve">APTV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 vs. cons $1.42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(Q2'26, New Aptiv pro forma)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~$3.32B vs. cons $3.30B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~17.9% vs. cons 17.6%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5.85</m:t>
              </m:r>
              <m:r>
                <m:rPr>
                  <m:sty m:val="p"/>
                </m:rPr>
                <m:t>−</m:t>
              </m:r>
              <m:r>
                <m:t>6.10</m:t>
              </m:r>
              <m:r>
                <m:rPr>
                  <m:sty m:val="p"/>
                </m:rPr>
                <m:t>(</m:t>
              </m:r>
            </m:oMath>
            <w:r>
              <w:t xml:space="preserve">5.95 mid) vs. cons $5.90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12.9</m:t>
              </m:r>
              <m:r>
                <m:rPr>
                  <m:sty m:val="p"/>
                </m:rPr>
                <m:t>−</m:t>
              </m:r>
              <m:r>
                <m:t>13.2</m:t>
              </m:r>
              <m:r>
                <m:t>B</m:t>
              </m:r>
              <m:r>
                <m:rPr>
                  <m:sty m:val="p"/>
                </m:rPr>
                <m:t>(</m:t>
              </m:r>
            </m:oMath>
            <w:r>
              <w:t xml:space="preserve">13.05B mid) vs. cons $13.0B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Bookings (&gt;$20B target / non-auto mix)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~$20.5B vs. cons $20.0B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EPS/margin beat with reaffirmed (not raised) FY guidance gives an initial relief pop given how bearish the sequential revenue optics looked, but with 19/20 already Buy-rated and a 38% implied upside already priced for the NVIDIA/edge-AI thesis, there's limited room for further re-rating unless China inflection and bookings beat prove durable; H2 stranded-cost drag (~$100M in Q2) and continued commodity/FX headwinds mean sell-side models likely trim out-period (Q3/Q4) EBITDA margin assumptions even after a Q2 beat, pulling the multi-day drift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2026-08-04T00:21:13Z</dcterms:created>
  <dcterms:modified xsi:type="dcterms:W3CDTF">2026-08-04T00:21:13Z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