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earnings preview. Let me also quickly check the analyst rating breakdown detail from that Investing.com article for more color.# APTV (Aptiv PLC) Q2 2026 Earnings Preview</w:t>
      </w:r>
      <w:r>
        <w:t xml:space="preserve"> </w:t>
      </w:r>
      <w:r>
        <w:rPr>
          <w:b/>
          <w:bCs/>
        </w:rPr>
        <w:t xml:space="preserve">Report date:</w:t>
      </w:r>
      <w:r>
        <w:t xml:space="preserve"> </w:t>
      </w:r>
      <w:r>
        <w:t xml:space="preserve">Tuesday, August 4, 2026, before market open | Conference call 8:00 a.m. ET</w:t>
      </w:r>
    </w:p>
    <w:p>
      <w:r>
        <w:pict>
          <v:rect style="width:0;height:1.5pt" o:hralign="center" o:hrstd="t" o:hr="t"/>
        </w:pict>
      </w:r>
    </w:p>
    <w:bookmarkStart w:id="9" w:name="X2f8abc020d727191d24885dfd72e49d2958b282"/>
    <w:p>
      <w:pPr>
        <w:pStyle w:val="Heading2"/>
      </w:pPr>
      <w:r>
        <w:t xml:space="preserve">Setting the Stage: The First Full Quarter of "New Aptiv"</w:t>
      </w:r>
    </w:p>
    <w:p>
      <w:pPr>
        <w:pStyle w:val="FirstParagraph"/>
      </w:pPr>
      <w:r>
        <w:t xml:space="preserve">This is arguably the most important print of Aptiv's year. On April 1, 2026, Aptiv completed the spin-off of its Electrical Distribution Systems (EDS) business into a standalone public company, Versigent (NYSE: VGNT). Q1 2026 results still consolidated EDS for one final quarter; Tuesday's report is the</w:t>
      </w:r>
      <w:r>
        <w:t xml:space="preserve"> </w:t>
      </w:r>
      <w:r>
        <w:rPr>
          <w:b/>
          <w:bCs/>
        </w:rPr>
        <w:t xml:space="preserve">first full quarter of "New Aptiv"</w:t>
      </w:r>
      <w:r>
        <w:t xml:space="preserve"> </w:t>
      </w:r>
      <w:r>
        <w:t xml:space="preserve">— a pure-play advanced software/optimized hardware business spanning Intelligent Systems (active safety, user experience, compute/software) and Engineered Components (high-speed interconnects, connectors, Winchester/A&amp;D and industrial products).</w:t>
      </w:r>
    </w:p>
    <w:p>
      <w:pPr>
        <w:pStyle w:val="BodyText"/>
      </w:pPr>
      <w:r>
        <w:t xml:space="preserve">Because the comparison base (Q2 2025) still included EDS, headline year-over-year revenue and EPS comparisons will look ugly — analysts expect</w:t>
      </w:r>
      <w:r>
        <w:t xml:space="preserve"> </w:t>
      </w:r>
      <w:r>
        <w:rPr>
          <w:b/>
          <w:bCs/>
        </w:rPr>
        <w:t xml:space="preserve">EPS of roughly $1.42-1.43, down ~33% y/y, on revenue of about $3.3 billion, down ~36-37% y/y</w:t>
      </w:r>
      <w:r>
        <w:t xml:space="preserve">, and revenue is expected to fall roughly 35% sequentially from Q1's $5.1 billion. This is purely a portfolio-mix artifact of the spin-off, not a demand problem, but it is likely to dominate headlines and could create confusion for less sophisticated readers of the print.</w:t>
      </w:r>
    </w:p>
    <w:bookmarkEnd w:id="9"/>
    <w:bookmarkStart w:id="10" w:name="what-management-has-guided"/>
    <w:p>
      <w:pPr>
        <w:pStyle w:val="Heading2"/>
      </w:pPr>
      <w:r>
        <w:t xml:space="preserve">What Management Has Guided</w:t>
      </w:r>
    </w:p>
    <w:p>
      <w:pPr>
        <w:pStyle w:val="FirstParagraph"/>
      </w:pPr>
      <w:r>
        <w:t xml:space="preserve">At the Q1 call, CFO Varun Laroyia laid out explicit New Aptiv (pro forma, ex-EDS)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 (midpoint)</w:t>
            </w:r>
          </w:p>
        </w:tc>
        <w:tc>
          <w:tcPr/>
          <w:p>
            <w:pPr>
              <w:pStyle w:val="Compact"/>
            </w:pPr>
            <w:r>
              <w:t xml:space="preserve">FY2026 Guide (midpoint)</w:t>
            </w:r>
          </w:p>
        </w:tc>
      </w:tr>
      <w:tr>
        <w:tc>
          <w:tcPr/>
          <w:p>
            <w:pPr>
              <w:pStyle w:val="Compact"/>
            </w:pPr>
            <w:r>
              <w:t xml:space="preserve">Net sales</w:t>
            </w:r>
          </w:p>
        </w:tc>
        <w:tc>
          <w:tcPr/>
          <w:p>
            <w:pPr>
              <w:pStyle w:val="Compact"/>
            </w:pPr>
            <m:oMath>
              <m:r>
                <m:t>3.2</m:t>
              </m:r>
              <m:r>
                <m:rPr>
                  <m:sty m:val="p"/>
                </m:rPr>
                <m:t>–</m:t>
              </m:r>
              <m:r>
                <m:t>3.4</m:t>
              </m:r>
              <m:r>
                <m:t>B</m:t>
              </m:r>
              <m:r>
                <m:rPr>
                  <m:sty m:val="p"/>
                </m:rPr>
                <m:t>(</m:t>
              </m:r>
            </m:oMath>
            <w:r>
              <w:t xml:space="preserve">3.3B)</w:t>
            </w:r>
          </w:p>
        </w:tc>
        <w:tc>
          <w:tcPr/>
          <w:p>
            <w:pPr>
              <w:pStyle w:val="Compact"/>
            </w:pPr>
            <w:r>
              <w:t xml:space="preserve">$12.8–13.2B</w:t>
            </w:r>
          </w:p>
        </w:tc>
      </w:tr>
      <w:tr>
        <w:tc>
          <w:tcPr/>
          <w:p>
            <w:pPr>
              <w:pStyle w:val="Compact"/>
            </w:pPr>
            <w:r>
              <w:t xml:space="preserve">Adjusted EBITDA</w:t>
            </w:r>
          </w:p>
        </w:tc>
        <w:tc>
          <w:tcPr/>
          <w:p>
            <w:pPr>
              <w:pStyle w:val="Compact"/>
            </w:pPr>
            <m:oMath>
              <m:r>
                <m:t>555</m:t>
              </m:r>
              <m:r>
                <m:rPr>
                  <m:sty m:val="p"/>
                </m:rPr>
                <m:t>–</m:t>
              </m:r>
              <m:r>
                <m:t>605</m:t>
              </m:r>
              <m:r>
                <m:t>M</m:t>
              </m:r>
              <m:r>
                <m:rPr>
                  <m:sty m:val="p"/>
                </m:rPr>
                <m:t>(</m:t>
              </m:r>
            </m:oMath>
            <w:r>
              <w:t xml:space="preserve">580M)</w:t>
            </w:r>
          </w:p>
        </w:tc>
        <w:tc>
          <w:tcPr/>
          <w:p>
            <w:pPr>
              <w:pStyle w:val="Compact"/>
            </w:pPr>
            <m:oMath>
              <m:r>
                <m:t>2</m:t>
              </m:r>
              <m:r>
                <m:rPr>
                  <m:sty m:val="p"/>
                </m:rPr>
                <m:t>,</m:t>
              </m:r>
              <m:r>
                <m:t>360</m:t>
              </m:r>
              <m:r>
                <m:rPr>
                  <m:sty m:val="p"/>
                </m:rPr>
                <m:t>–</m:t>
              </m:r>
              <m:r>
                <m:t>2</m:t>
              </m:r>
              <m:r>
                <m:rPr>
                  <m:sty m:val="p"/>
                </m:rPr>
                <m:t>,</m:t>
              </m:r>
              <m:r>
                <m:t>480</m:t>
              </m:r>
              <m:r>
                <m:t>M</m:t>
              </m:r>
              <m:r>
                <m:rPr>
                  <m:sty m:val="p"/>
                </m:rPr>
                <m:t>(</m:t>
              </m:r>
            </m:oMath>
            <w:r>
              <w:t xml:space="preserve">2,420M)</w:t>
            </w:r>
          </w:p>
        </w:tc>
      </w:tr>
      <w:tr>
        <w:tc>
          <w:tcPr/>
          <w:p>
            <w:pPr>
              <w:pStyle w:val="Compact"/>
            </w:pPr>
            <w:r>
              <w:t xml:space="preserve">Adjusted EBITDA margin</w:t>
            </w:r>
          </w:p>
        </w:tc>
        <w:tc>
          <w:tcPr/>
          <w:p>
            <w:pPr>
              <w:pStyle w:val="Compact"/>
            </w:pPr>
            <w:r>
              <w:t xml:space="preserve">17.6%</w:t>
            </w:r>
          </w:p>
        </w:tc>
        <w:tc>
          <w:tcPr/>
          <w:p>
            <w:pPr>
              <w:pStyle w:val="Compact"/>
            </w:pPr>
            <w:r>
              <w:t xml:space="preserve">18.6%</w:t>
            </w:r>
          </w:p>
        </w:tc>
      </w:tr>
      <w:tr>
        <w:tc>
          <w:tcPr/>
          <w:p>
            <w:pPr>
              <w:pStyle w:val="Compact"/>
            </w:pPr>
            <w:r>
              <w:t xml:space="preserve">Adjusted EPS</w:t>
            </w:r>
          </w:p>
        </w:tc>
        <w:tc>
          <w:tcPr/>
          <w:p>
            <w:pPr>
              <w:pStyle w:val="Compact"/>
            </w:pPr>
            <m:oMath>
              <m:r>
                <m:t>1.30</m:t>
              </m:r>
              <m:r>
                <m:rPr>
                  <m:sty m:val="p"/>
                </m:rPr>
                <m:t>–</m:t>
              </m:r>
              <m:r>
                <m:t>1.50</m:t>
              </m:r>
              <m:r>
                <m:rPr>
                  <m:sty m:val="p"/>
                </m:rPr>
                <m:t>(</m:t>
              </m:r>
            </m:oMath>
            <w:r>
              <w:t xml:space="preserve">1.40)</w:t>
            </w:r>
          </w:p>
        </w:tc>
        <w:tc>
          <w:tcPr/>
          <w:p>
            <w:pPr>
              <w:pStyle w:val="Compact"/>
            </w:pPr>
            <w:r>
              <w:t xml:space="preserve">$5.70–6.10</w:t>
            </w:r>
          </w:p>
        </w:tc>
      </w:tr>
      <w:tr>
        <w:tc>
          <w:tcPr/>
          <w:p>
            <w:pPr>
              <w:pStyle w:val="Compact"/>
            </w:pPr>
            <w:r>
              <w:t xml:space="preserve">Free cash flow</w:t>
            </w:r>
          </w:p>
        </w:tc>
        <w:tc>
          <w:tcPr/>
          <w:p>
            <w:pPr>
              <w:pStyle w:val="Compact"/>
            </w:pPr>
            <w:r>
              <w:t xml:space="preserve">—</w:t>
            </w:r>
          </w:p>
        </w:tc>
        <w:tc>
          <w:tcPr/>
          <w:p>
            <w:pPr>
              <w:pStyle w:val="Compact"/>
            </w:pPr>
            <w:r>
              <w:t xml:space="preserve">$750M</w:t>
            </w:r>
          </w:p>
        </w:tc>
      </w:tr>
    </w:tbl>
    <w:p>
      <w:pPr>
        <w:pStyle w:val="BodyText"/>
      </w:pPr>
      <w:r>
        <w:t xml:space="preserve">Wall Street's consensus (</w:t>
      </w:r>
      <m:oMath>
        <m:r>
          <m:t>1.42</m:t>
        </m:r>
        <m:r>
          <m:rPr>
            <m:sty m:val="p"/>
          </m:rPr>
          <m:t>−</m:t>
        </m:r>
        <m:r>
          <m:t>1.43</m:t>
        </m:r>
        <m:r>
          <m:t>E</m:t>
        </m:r>
        <m:r>
          <m:t>P</m:t>
        </m:r>
        <m:r>
          <m:t>S</m:t>
        </m:r>
        <m:r>
          <m:rPr>
            <m:sty m:val="p"/>
          </m:rPr>
          <m:t>,</m:t>
        </m:r>
        <m:r>
          <m:t> </m:t>
        </m:r>
      </m:oMath>
      <w:r>
        <w:t xml:space="preserve">3.3B revenue) sits essentially in line with, or modestly above, the company's own midpoint — consistent with Aptiv's recent track record, having</w:t>
      </w:r>
      <w:r>
        <w:t xml:space="preserve"> </w:t>
      </w:r>
      <w:r>
        <w:rPr>
          <w:b/>
          <w:bCs/>
        </w:rPr>
        <w:t xml:space="preserve">exceeded Wall Street's EPS estimates in each of its last four quarters</w:t>
      </w:r>
      <w:r>
        <w:t xml:space="preserve">. Sell-side estimates have also nudged up slightly into the print, with one preview noting</w:t>
      </w:r>
      <w:r>
        <w:t xml:space="preserve"> </w:t>
      </w:r>
      <w:r>
        <w:rPr>
          <w:b/>
          <w:bCs/>
        </w:rPr>
        <w:t xml:space="preserve">"EPS estimates have risen modestly over the past two months, up 0.6%"</w:t>
      </w:r>
      <w:r>
        <w:t xml:space="preserve">.</w:t>
      </w:r>
    </w:p>
    <w:bookmarkEnd w:id="10"/>
    <w:bookmarkStart w:id="11" w:name="key-themes-to-watch-on-the-call"/>
    <w:p>
      <w:pPr>
        <w:pStyle w:val="Heading2"/>
      </w:pPr>
      <w:r>
        <w:t xml:space="preserve">Key Themes to Watch on the Call</w:t>
      </w:r>
    </w:p>
    <w:p>
      <w:pPr>
        <w:pStyle w:val="FirstParagraph"/>
      </w:pPr>
      <w:r>
        <w:rPr>
          <w:b/>
          <w:bCs/>
        </w:rPr>
        <w:t xml:space="preserve">1. Does the promised first-half/second-half acceleration show up?</w:t>
      </w:r>
      <w:r>
        <w:t xml:space="preserve"> </w:t>
      </w:r>
      <w:r>
        <w:t xml:space="preserve">Management guided full-year adjusted revenue growth of 4% at the midpoint, explicitly built on an H1-to-H2 acceleration. On the Q1 call, Kevin Clark and Varun Laroyia broke the ramp into three pieces: roughly 100bps from improving underlying vehicle production, ~150bps from the</w:t>
      </w:r>
      <w:r>
        <w:t xml:space="preserve"> </w:t>
      </w:r>
      <w:r>
        <w:rPr>
          <w:i/>
          <w:iCs/>
        </w:rPr>
        <w:t xml:space="preserve">anniversarying</w:t>
      </w:r>
      <w:r>
        <w:t xml:space="preserve"> </w:t>
      </w:r>
      <w:r>
        <w:t xml:space="preserve">of two Q1-specific headwinds (a North American customer's supplier-fire-driven production cut and 2025 China program cancellations), and ~300bps from the timing of new program launches. Q2 is the quarter where the China headwind is supposed to flip — Clark stated on the Q1 call that China growth "you'll see... positive in Q2," driven by new program launches and an easier comp at the largest local China OEM. Investors should watch whether that inflection actually materialized.</w:t>
      </w:r>
    </w:p>
    <w:p>
      <w:pPr>
        <w:pStyle w:val="BodyText"/>
      </w:pPr>
      <w:r>
        <w:rPr>
          <w:b/>
          <w:bCs/>
        </w:rPr>
        <w:t xml:space="preserve">2. Commodity/FX inflation tied to the Middle East conflict.</w:t>
      </w:r>
      <w:r>
        <w:t xml:space="preserve"> </w:t>
      </w:r>
      <w:r>
        <w:t xml:space="preserve">Aptiv flagged in Q1 that spiking commodity costs (copper, silver, gold, oil-linked resins), amplified by the Middle East conflict, drove a 180bp FX/commodity margin headwind in Q1 versus a 120bp original forecast, and management raised its commodity cost assumption for the full year by roughly 50-60bps versus prior guidance. Management said it expects to fully offset this through performance initiatives and selective customer pass-throughs (with a historical 95-100% recovery rate) rather than relying on price increases — but watch for any incremental deterioration given ongoing geopolitical volatility, and for confirmation that FX remains a net tailwind as stated in Q1.</w:t>
      </w:r>
    </w:p>
    <w:p>
      <w:pPr>
        <w:pStyle w:val="BodyText"/>
      </w:pPr>
      <w:r>
        <w:rPr>
          <w:b/>
          <w:bCs/>
        </w:rPr>
        <w:t xml:space="preserve">3. Bookings momentum and the $20 billion target.</w:t>
      </w:r>
      <w:r>
        <w:t xml:space="preserve"> </w:t>
      </w:r>
      <w:r>
        <w:t xml:space="preserve">New Aptiv is guiding to</w:t>
      </w:r>
      <w:r>
        <w:t xml:space="preserve"> </w:t>
      </w:r>
      <w:r>
        <w:rPr>
          <w:b/>
          <w:bCs/>
        </w:rPr>
        <w:t xml:space="preserve">more than $20 billion of bookings for full-year 2026</w:t>
      </w:r>
      <w:r>
        <w:t xml:space="preserve">, after Q1 bookings of $4.6 billion (+~15% versus the 2025 quarterly average), including roughly $900 million from non-automotive customers. Watch for confirmation of continued strong win rates, particularly next-gen ADAS, user-experience/smart vehicle architecture, and software/services awards.</w:t>
      </w:r>
    </w:p>
    <w:p>
      <w:pPr>
        <w:pStyle w:val="BodyText"/>
      </w:pPr>
      <w:r>
        <w:rPr>
          <w:b/>
          <w:bCs/>
        </w:rPr>
        <w:t xml:space="preserve">4. Non-auto diversification and the NVIDIA/edge-AI narrative.</w:t>
      </w:r>
      <w:r>
        <w:t xml:space="preserve"> </w:t>
      </w:r>
      <w:r>
        <w:t xml:space="preserve">Roughly a quarter of Aptiv's revenue now comes from outside automotive, and this has become the market's key excitement driver. In early June, Aptiv announced an</w:t>
      </w:r>
      <w:r>
        <w:t xml:space="preserve"> </w:t>
      </w:r>
      <w:r>
        <w:rPr>
          <w:b/>
          <w:bCs/>
        </w:rPr>
        <w:t xml:space="preserve">expanded collaboration with NVIDIA</w:t>
      </w:r>
      <w:r>
        <w:t xml:space="preserve"> </w:t>
      </w:r>
      <w:r>
        <w:t xml:space="preserve">to evolve Jetson platforms (including next-generation Jetson Thor) into commercially supported, production-ready edge AI systems for robotics, aerospace/defense, industrial automation and telecom — news that helped propel the stock up roughly 25% over the following month. Aptiv also announced a strategic collaboration with Kyndryl in mid-July to deploy its Wind River software into mission-critical enterprise environments. Investors will want updates on how quickly these partnerships and the broader robotics/drone pipeline (Comau, Robust.AI, Vecna Robotics) are converting into revenue, and progress on the bolt-on M&amp;A pipeline management said it hopes to close on during calendar 2026 to accelerate entry into data centers, aerospace/defense, and energy storage.</w:t>
      </w:r>
    </w:p>
    <w:p>
      <w:pPr>
        <w:pStyle w:val="BodyText"/>
      </w:pPr>
      <w:r>
        <w:rPr>
          <w:b/>
          <w:bCs/>
        </w:rPr>
        <w:t xml:space="preserve">5. Capital allocation, leverage and stranded costs.</w:t>
      </w:r>
      <w:r>
        <w:t xml:space="preserve"> </w:t>
      </w:r>
      <w:r>
        <w:t xml:space="preserve">Post-spin, New Aptiv's pro forma gross/net leverage was 2.3x/1.9x as of Q1, and the company used part of the Versigent cash distribution to pay down roughly $2.1 billion of debt in early April. Watch for updates on share repurchase pace (only $75 million deployed in Q1, against a $2.0 billion remaining authorization) and progress eliminating the estimated $70 million of annualized stranded costs from the spin, targeted for full elimination by the end of 2027 — with roughly $100 million of separation costs expected to hit Q2 specifically.</w:t>
      </w:r>
    </w:p>
    <w:bookmarkEnd w:id="11"/>
    <w:bookmarkStart w:id="12" w:name="Xed524703fa7cccdf53270f232102529549942c9"/>
    <w:p>
      <w:pPr>
        <w:pStyle w:val="Heading2"/>
      </w:pPr>
      <w:r>
        <w:t xml:space="preserve">Stock Price Action and Sentiment Heading In</w:t>
      </w:r>
    </w:p>
    <w:p>
      <w:pPr>
        <w:pStyle w:val="FirstParagraph"/>
      </w:pPr>
      <w:r>
        <w:t xml:space="preserve">APTV shares have been extremely volatile in 2026: they fell to the low $50s in mid-May after the Q1 print (down ~4-6% post-earnings on FX/commodity headwind disappointment despite the EPS beat and maintained guidance), then spiked as high as</w:t>
      </w:r>
      <w:r>
        <w:t xml:space="preserve"> </w:t>
      </w:r>
      <m:oMath>
        <m:r>
          <m:t>76.82</m:t>
        </m:r>
        <m:r>
          <m:t>i</m:t>
        </m:r>
        <m:r>
          <m:t>n</m:t>
        </m:r>
        <m:r>
          <m:t>e</m:t>
        </m:r>
        <m:r>
          <m:t>a</m:t>
        </m:r>
        <m:r>
          <m:t>r</m:t>
        </m:r>
        <m:r>
          <m:t>l</m:t>
        </m:r>
        <m:r>
          <m:t>y</m:t>
        </m:r>
        <m:r>
          <m:t>J</m:t>
        </m:r>
        <m:r>
          <m:t>u</m:t>
        </m:r>
        <m:r>
          <m:t>n</m:t>
        </m:r>
        <m:r>
          <m:t>e</m:t>
        </m:r>
        <m:r>
          <m:t>o</m:t>
        </m:r>
        <m:r>
          <m:t>n</m:t>
        </m:r>
        <m:r>
          <m:t>t</m:t>
        </m:r>
        <m:r>
          <m:t>h</m:t>
        </m:r>
        <m:r>
          <m:t>e</m:t>
        </m:r>
        <m:r>
          <m:t>N</m:t>
        </m:r>
        <m:r>
          <m:t>V</m:t>
        </m:r>
        <m:r>
          <m:t>I</m:t>
        </m:r>
        <m:r>
          <m:t>D</m:t>
        </m:r>
        <m:r>
          <m:t>I</m:t>
        </m:r>
        <m:r>
          <m:t>A</m:t>
        </m:r>
        <m:r>
          <m:t>p</m:t>
        </m:r>
        <m:r>
          <m:t>a</m:t>
        </m:r>
        <m:r>
          <m:t>r</m:t>
        </m:r>
        <m:r>
          <m:t>t</m:t>
        </m:r>
        <m:r>
          <m:t>n</m:t>
        </m:r>
        <m:r>
          <m:t>e</m:t>
        </m:r>
        <m:r>
          <m:t>r</m:t>
        </m:r>
        <m:r>
          <m:t>s</m:t>
        </m:r>
        <m:r>
          <m:t>h</m:t>
        </m:r>
        <m:r>
          <m:t>i</m:t>
        </m:r>
        <m:r>
          <m:t>p</m:t>
        </m:r>
        <m:r>
          <m:t>n</m:t>
        </m:r>
        <m:r>
          <m:t>e</m:t>
        </m:r>
        <m:r>
          <m:t>w</m:t>
        </m:r>
        <m:r>
          <m:t>s</m:t>
        </m:r>
        <m:r>
          <m:rPr>
            <m:sty m:val="p"/>
          </m:rPr>
          <m:t>,</m:t>
        </m:r>
        <m:r>
          <m:t>b</m:t>
        </m:r>
        <m:r>
          <m:t>e</m:t>
        </m:r>
        <m:r>
          <m:t>f</m:t>
        </m:r>
        <m:r>
          <m:t>o</m:t>
        </m:r>
        <m:r>
          <m:t>r</m:t>
        </m:r>
        <m:r>
          <m:t>e</m:t>
        </m:r>
        <m:r>
          <m:t>d</m:t>
        </m:r>
        <m:r>
          <m:t>r</m:t>
        </m:r>
        <m:r>
          <m:t>i</m:t>
        </m:r>
        <m:r>
          <m:t>f</m:t>
        </m:r>
        <m:r>
          <m:t>t</m:t>
        </m:r>
        <m:r>
          <m:t>i</m:t>
        </m:r>
        <m:r>
          <m:t>n</m:t>
        </m:r>
        <m:r>
          <m:t>g</m:t>
        </m:r>
        <m:r>
          <m:t>b</m:t>
        </m:r>
        <m:r>
          <m:t>a</m:t>
        </m:r>
        <m:r>
          <m:t>c</m:t>
        </m:r>
        <m:r>
          <m:t>k</m:t>
        </m:r>
        <m:r>
          <m:t>d</m:t>
        </m:r>
        <m:r>
          <m:t>o</m:t>
        </m:r>
        <m:r>
          <m:t>w</m:t>
        </m:r>
        <m:r>
          <m:t>n</m:t>
        </m:r>
        <m:r>
          <m:t>t</m:t>
        </m:r>
        <m:r>
          <m:t>o</m:t>
        </m:r>
        <m:r>
          <m:t>t</m:t>
        </m:r>
        <m:r>
          <m:t>h</m:t>
        </m:r>
        <m:r>
          <m:t>e</m:t>
        </m:r>
        <m:r>
          <m:t>m</m:t>
        </m:r>
        <m:r>
          <m:t>i</m:t>
        </m:r>
        <m:r>
          <m:t>d</m:t>
        </m:r>
        <m:r>
          <m:rPr>
            <m:sty m:val="p"/>
          </m:rPr>
          <m:t>−</m:t>
        </m:r>
      </m:oMath>
      <w:r>
        <w:t xml:space="preserve">50s to low-</w:t>
      </w:r>
      <m:oMath>
        <m:r>
          <m:t>60</m:t>
        </m:r>
        <m:r>
          <m:t>s</m:t>
        </m:r>
        <m:r>
          <m:t>r</m:t>
        </m:r>
        <m:r>
          <m:t>a</m:t>
        </m:r>
        <m:r>
          <m:t>n</m:t>
        </m:r>
        <m:r>
          <m:t>g</m:t>
        </m:r>
        <m:r>
          <m:t>e</m:t>
        </m:r>
        <m:r>
          <m:t>o</m:t>
        </m:r>
        <m:r>
          <m:t>v</m:t>
        </m:r>
        <m:r>
          <m:t>e</m:t>
        </m:r>
        <m:r>
          <m:t>r</m:t>
        </m:r>
        <m:r>
          <m:t>J</m:t>
        </m:r>
        <m:r>
          <m:t>u</m:t>
        </m:r>
        <m:r>
          <m:t>l</m:t>
        </m:r>
        <m:r>
          <m:t>y</m:t>
        </m:r>
        <m:r>
          <m:rPr>
            <m:sty m:val="p"/>
          </m:rPr>
          <m:t>.</m:t>
        </m:r>
        <m:r>
          <m:t>S</m:t>
        </m:r>
        <m:r>
          <m:t>h</m:t>
        </m:r>
        <m:r>
          <m:t>a</m:t>
        </m:r>
        <m:r>
          <m:t>r</m:t>
        </m:r>
        <m:r>
          <m:t>e</m:t>
        </m:r>
        <m:r>
          <m:t>s</m:t>
        </m:r>
        <m:r>
          <m:t>c</m:t>
        </m:r>
        <m:r>
          <m:t>l</m:t>
        </m:r>
        <m:r>
          <m:t>o</m:t>
        </m:r>
        <m:r>
          <m:t>s</m:t>
        </m:r>
        <m:r>
          <m:t>e</m:t>
        </m:r>
        <m:r>
          <m:t>d</m:t>
        </m:r>
        <m:r>
          <m:t>a</m:t>
        </m:r>
        <m:r>
          <m:t>t</m:t>
        </m:r>
        <m:r>
          <m:rPr>
            <m:sty m:val="p"/>
          </m:rPr>
          <m:t>*</m:t>
        </m:r>
        <m:r>
          <m:rPr>
            <m:sty m:val="p"/>
          </m:rPr>
          <m:t>*</m:t>
        </m:r>
      </m:oMath>
      <w:r>
        <w:t xml:space="preserve">57.25 on August 3**, the day before earnings — leaving the stock</w:t>
      </w:r>
      <w:r>
        <w:t xml:space="preserve"> </w:t>
      </w:r>
      <w:r>
        <w:rPr>
          <w:b/>
          <w:bCs/>
        </w:rPr>
        <w:t xml:space="preserve">down roughly 28% year-to-date</w:t>
      </w:r>
      <w:r>
        <w:t xml:space="preserve"> </w:t>
      </w:r>
      <w:r>
        <w:t xml:space="preserve">per one Yahoo Finance summary, even as the broader growth narrative around edge AI/robotics has strengthened.</w:t>
      </w:r>
    </w:p>
    <w:p>
      <w:pPr>
        <w:pStyle w:val="BodyText"/>
      </w:pPr>
      <w:r>
        <w:t xml:space="preserve">Despite the choppy price action and the confusing sequential revenue "decline," sell-side sentiment remains notably bullish:</w:t>
      </w:r>
      <w:r>
        <w:t xml:space="preserve"> </w:t>
      </w:r>
      <w:r>
        <w:rPr>
          <w:b/>
          <w:bCs/>
        </w:rPr>
        <w:t xml:space="preserve">19 of 20 analysts rate the stock a buy, with a mean price target of $77.67, implying roughly 38% upside</w:t>
      </w:r>
      <w:r>
        <w:t xml:space="preserve"> </w:t>
      </w:r>
      <w:r>
        <w:t xml:space="preserve">from the pre-earnings price. Recent target moves have been mixed but skew positive — RBC Capital raised its target to $90 in July (from $81), and Wells Fargo maintained its buy rating with a $77 target — though a handful of firms (Citi, Barclays) trimmed targets earlier in the year on FX/commodity concerns. The stock trades at a</w:t>
      </w:r>
      <w:r>
        <w:t xml:space="preserve"> </w:t>
      </w:r>
      <w:r>
        <w:rPr>
          <w:b/>
          <w:bCs/>
        </w:rPr>
        <w:t xml:space="preserve">forward P/E near 9.7x</w:t>
      </w:r>
      <w:r>
        <w:t xml:space="preserve">, a notable discount to peers, reflecting lingering investor skepticism about the "show-me" nature of the post-spin growth and margin story.</w:t>
      </w:r>
    </w:p>
    <w:bookmarkEnd w:id="12"/>
    <w:bookmarkStart w:id="13" w:name="bottom-line"/>
    <w:p>
      <w:pPr>
        <w:pStyle w:val="Heading2"/>
      </w:pPr>
      <w:r>
        <w:t xml:space="preserve">Bottom Line</w:t>
      </w:r>
    </w:p>
    <w:p>
      <w:pPr>
        <w:pStyle w:val="FirstParagraph"/>
      </w:pPr>
      <w:r>
        <w:t xml:space="preserve">Tuesday's report should be read less as a headline revenue/EPS beat-or-miss exercise (given the spin-off-driven comp distortion) and more as a proof point for the "New Aptiv" thesis: can the standalone company deliver the promised H2 acceleration (China turning positive, supplier-fire recovery, new program ramps), hold the line on margins despite Middle-East-driven commodity inflation, keep converting its expanding non-auto/edge-AI pipeline (NVIDIA, Kyndryl, robotics/drone partnerships) into bookings and eventually revenue, and continue executing disciplined capital allocation (buybacks, deleveraging, bolt-on M&amp;A) now that EDS has been separated. A reaffirmation — or better, a raise — of full-year guidance ($12.8-13.2B revenue, $5.70-6.10 adjusted EPS, $750M free cash flow) alongside confirmation of the China/production inflection would likely be well received given how bullish sell-side positioning already is; any incremental commodity-cost deterioration or delay in program launches could reignite the volatility seen since the Q1 report.</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2026-08-04T00:21:13Z</dcterms:created>
  <dcterms:modified xsi:type="dcterms:W3CDTF">2026-08-04T00:21:13Z</dcterms:modified>
</cp:coreProperties>
</file>

<file path=docProps/custom.xml><?xml version="1.0" encoding="utf-8"?>
<Properties xmlns="http://schemas.openxmlformats.org/officeDocument/2006/custom-properties" xmlns:vt="http://schemas.openxmlformats.org/officeDocument/2006/docPropsVTypes"/>
</file>