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6dae018709fc559b065a61c61c57361a0f57059"/>
    <w:p>
      <w:pPr>
        <w:pStyle w:val="Heading1"/>
      </w:pPr>
      <w:r>
        <w:t xml:space="preserve">Aptiv (NYSE: APTV) — Q2 2026 Earnings Preview</w:t>
      </w:r>
    </w:p>
    <w:p>
      <w:pPr>
        <w:pStyle w:val="BlockText"/>
      </w:pPr>
      <w:r>
        <w:rPr>
          <w:b/>
          <w:bCs/>
        </w:rPr>
        <w:t xml:space="preserve">Date clarification:</w:t>
      </w:r>
      <w:r>
        <w:t xml:space="preserve"> </w:t>
      </w:r>
      <w:r>
        <w:t xml:space="preserve">Aptiv is scheduled to report</w:t>
      </w:r>
      <w:r>
        <w:t xml:space="preserve"> </w:t>
      </w:r>
      <w:r>
        <w:rPr>
          <w:b/>
          <w:bCs/>
        </w:rPr>
        <w:t xml:space="preserve">before the market opens today, August 4, 2026</w:t>
      </w:r>
      <w:r>
        <w:t xml:space="preserve">, followed by its earnings call at</w:t>
      </w:r>
      <w:r>
        <w:t xml:space="preserve"> </w:t>
      </w:r>
      <w:r>
        <w:rPr>
          <w:b/>
          <w:bCs/>
        </w:rPr>
        <w:t xml:space="preserve">8:00 a.m. ET</w:t>
      </w:r>
      <w:r>
        <w:t xml:space="preserve">. The event is not tomorrow. (</w:t>
      </w:r>
      <w:hyperlink r:id="rId9">
        <w:r>
          <w:rPr>
            <w:rStyle w:val="Hyperlink"/>
          </w:rPr>
          <w:t xml:space="preserve">ir.aptiv.com</w:t>
        </w:r>
      </w:hyperlink>
      <w:r>
        <w:t xml:space="preserve">)</w:t>
      </w:r>
    </w:p>
    <w:bookmarkStart w:id="10" w:name="investment-view-going-into-the-report"/>
    <w:p>
      <w:pPr>
        <w:pStyle w:val="Heading2"/>
      </w:pPr>
      <w:r>
        <w:t xml:space="preserve">Investment view going into the report</w:t>
      </w:r>
    </w:p>
    <w:p>
      <w:pPr>
        <w:pStyle w:val="FirstParagraph"/>
      </w:pPr>
      <w:r>
        <w:t xml:space="preserve">This is Aptiv’s first full quarter as</w:t>
      </w:r>
      <w:r>
        <w:t xml:space="preserve"> </w:t>
      </w:r>
      <w:r>
        <w:rPr>
          <w:b/>
          <w:bCs/>
        </w:rPr>
        <w:t xml:space="preserve">“New Aptiv”</w:t>
      </w:r>
      <w:r>
        <w:t xml:space="preserve"> </w:t>
      </w:r>
      <w:r>
        <w:t xml:space="preserve">following the April 1 spin-off of its Electrical Distribution Systems business as Versigent. Consequently, the quarter is less about a routine EPS beat or miss and more about establishing the earnings power, growth profile and cash generation of the post-spin company.</w:t>
      </w:r>
    </w:p>
    <w:p>
      <w:pPr>
        <w:pStyle w:val="BodyText"/>
      </w:pPr>
      <w:r>
        <w:t xml:space="preserve">The key question is whether management can preserve full-year guidance—and substantiate the implied second-half margin improvement—despite weak vehicle production, customer-specific disruptions and inflation in copper, precious metals and resins.</w:t>
      </w:r>
    </w:p>
    <w:p>
      <w:pPr>
        <w:pStyle w:val="BodyText"/>
      </w:pPr>
      <w:r>
        <w:t xml:space="preserve">A result near consensus with unchanged guidance would probably be viewed as only adequate. A more constructive report would require evidence that China and program launches are improving, commodity pressure is being recovered and the roughly</w:t>
      </w:r>
      <w:r>
        <w:t xml:space="preserve"> </w:t>
      </w:r>
      <w:r>
        <w:rPr>
          <w:b/>
          <w:bCs/>
        </w:rPr>
        <w:t xml:space="preserve">19.5% second-half EBITDA margin implied by guidance</w:t>
      </w:r>
      <w:r>
        <w:t xml:space="preserve"> </w:t>
      </w:r>
      <w:r>
        <w:t xml:space="preserve">remains achievable.</w:t>
      </w:r>
    </w:p>
    <w:p>
      <w:r>
        <w:pict>
          <v:rect style="width:0;height:1.5pt" o:hralign="center" o:hrstd="t" o:hr="t"/>
        </w:pict>
      </w:r>
    </w:p>
    <w:bookmarkEnd w:id="10"/>
    <w:bookmarkStart w:id="14" w:name="q2-expectations"/>
    <w:p>
      <w:pPr>
        <w:pStyle w:val="Heading2"/>
      </w:pPr>
      <w:r>
        <w:t xml:space="preserve">Q2 expectations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Aptiv guidance</w:t>
            </w:r>
          </w:p>
        </w:tc>
        <w:tc>
          <w:tcPr/>
          <w:p>
            <w:pPr>
              <w:pStyle w:val="Compact"/>
              <w:jc w:val="right"/>
            </w:pPr>
            <w:r>
              <w:t xml:space="preserve">Street consensus</w:t>
            </w:r>
          </w:p>
        </w:tc>
        <w:tc>
          <w:tcPr/>
          <w:p>
            <w:pPr>
              <w:pStyle w:val="Compact"/>
            </w:pPr>
            <w:r>
              <w:t xml:space="preserve">Preview focus</w:t>
            </w:r>
          </w:p>
        </w:tc>
      </w:tr>
      <w:tr>
        <w:tc>
          <w:tcPr/>
          <w:p>
            <w:pPr>
              <w:pStyle w:val="Compact"/>
            </w:pPr>
            <w:r>
              <w:t xml:space="preserve">Revenue</w:t>
            </w:r>
          </w:p>
        </w:tc>
        <w:tc>
          <w:tcPr/>
          <w:p>
            <w:pPr>
              <w:pStyle w:val="Compact"/>
              <w:jc w:val="right"/>
            </w:pPr>
            <m:oMath>
              <m:r>
                <m:t>3.2</m:t>
              </m:r>
              <m:r>
                <m:t>B</m:t>
              </m:r>
              <m:r>
                <m:rPr>
                  <m:sty m:val="p"/>
                </m:rPr>
                <m:t>–</m:t>
              </m:r>
            </m:oMath>
            <w:r>
              <w:rPr>
                <w:b/>
                <w:bCs/>
              </w:rPr>
              <w:t xml:space="preserve">3.4B</w:t>
            </w:r>
          </w:p>
        </w:tc>
        <w:tc>
          <w:tcPr/>
          <w:p>
            <w:pPr>
              <w:pStyle w:val="Compact"/>
              <w:jc w:val="right"/>
            </w:pPr>
            <w:r>
              <w:t xml:space="preserve">Approximately</w:t>
            </w:r>
            <w:r>
              <w:t xml:space="preserve"> </w:t>
            </w:r>
            <m:oMath>
              <m:r>
                <m:t>3.30</m:t>
              </m:r>
              <m:r>
                <m:t>B</m:t>
              </m:r>
              <m:r>
                <m:rPr>
                  <m:sty m:val="p"/>
                </m:rPr>
                <m:t>–</m:t>
              </m:r>
            </m:oMath>
            <w:r>
              <w:rPr>
                <w:b/>
                <w:bCs/>
              </w:rPr>
              <w:t xml:space="preserve">3.31B</w:t>
            </w:r>
          </w:p>
        </w:tc>
        <w:tc>
          <w:tcPr/>
          <w:p>
            <w:pPr>
              <w:pStyle w:val="Compact"/>
            </w:pPr>
            <w:r>
              <w:t xml:space="preserve">Organic growth and segment mix</w:t>
            </w:r>
          </w:p>
        </w:tc>
      </w:tr>
      <w:tr>
        <w:tc>
          <w:tcPr/>
          <w:p>
            <w:pPr>
              <w:pStyle w:val="Compact"/>
            </w:pPr>
            <w:r>
              <w:t xml:space="preserve">Adjusted revenue growth</w:t>
            </w:r>
          </w:p>
        </w:tc>
        <w:tc>
          <w:tcPr/>
          <w:p>
            <w:pPr>
              <w:pStyle w:val="Compact"/>
              <w:jc w:val="right"/>
            </w:pPr>
            <w:r>
              <w:rPr>
                <w:b/>
                <w:bCs/>
              </w:rPr>
              <w:t xml:space="preserve">~2% at midpoint</w:t>
            </w:r>
          </w:p>
        </w:tc>
        <w:tc>
          <w:tcPr/>
          <w:p>
            <w:pPr>
              <w:pStyle w:val="Compact"/>
              <w:jc w:val="right"/>
            </w:pPr>
            <w:r>
              <w:t xml:space="preserve">—</w:t>
            </w:r>
          </w:p>
        </w:tc>
        <w:tc>
          <w:tcPr/>
          <w:p>
            <w:pPr>
              <w:pStyle w:val="Compact"/>
            </w:pPr>
            <w:r>
              <w:t xml:space="preserve">Acceleration from roughly flat New Aptiv growth in Q1</w:t>
            </w:r>
          </w:p>
        </w:tc>
      </w:tr>
      <w:tr>
        <w:tc>
          <w:tcPr/>
          <w:p>
            <w:pPr>
              <w:pStyle w:val="Compact"/>
            </w:pPr>
            <w:r>
              <w:t xml:space="preserve">Adjusted EBITDA</w:t>
            </w:r>
          </w:p>
        </w:tc>
        <w:tc>
          <w:tcPr/>
          <w:p>
            <w:pPr>
              <w:pStyle w:val="Compact"/>
              <w:jc w:val="right"/>
            </w:pPr>
            <m:oMath>
              <m:r>
                <m:t>555</m:t>
              </m:r>
              <m:r>
                <m:t>M</m:t>
              </m:r>
              <m:r>
                <m:rPr>
                  <m:sty m:val="p"/>
                </m:rPr>
                <m:t>–</m:t>
              </m:r>
            </m:oMath>
            <w:r>
              <w:rPr>
                <w:b/>
                <w:bCs/>
              </w:rPr>
              <w:t xml:space="preserve">605M</w:t>
            </w:r>
          </w:p>
        </w:tc>
        <w:tc>
          <w:tcPr/>
          <w:p>
            <w:pPr>
              <w:pStyle w:val="Compact"/>
              <w:jc w:val="right"/>
            </w:pPr>
            <w:r>
              <w:t xml:space="preserve">—</w:t>
            </w:r>
          </w:p>
        </w:tc>
        <w:tc>
          <w:tcPr/>
          <w:p>
            <w:pPr>
              <w:pStyle w:val="Compact"/>
            </w:pPr>
            <w:r>
              <w:t xml:space="preserve">Commodity pressure versus productivity</w:t>
            </w:r>
          </w:p>
        </w:tc>
      </w:tr>
      <w:tr>
        <w:tc>
          <w:tcPr/>
          <w:p>
            <w:pPr>
              <w:pStyle w:val="Compact"/>
            </w:pPr>
            <w:r>
              <w:t xml:space="preserve">Adjusted EBITDA margin</w:t>
            </w:r>
          </w:p>
        </w:tc>
        <w:tc>
          <w:tcPr/>
          <w:p>
            <w:pPr>
              <w:pStyle w:val="Compact"/>
              <w:jc w:val="right"/>
            </w:pPr>
            <w:r>
              <w:rPr>
                <w:b/>
                <w:bCs/>
              </w:rPr>
              <w:t xml:space="preserve">17.6% at midpoint</w:t>
            </w:r>
          </w:p>
        </w:tc>
        <w:tc>
          <w:tcPr/>
          <w:p>
            <w:pPr>
              <w:pStyle w:val="Compact"/>
              <w:jc w:val="right"/>
            </w:pPr>
            <w:r>
              <w:t xml:space="preserve">—</w:t>
            </w:r>
          </w:p>
        </w:tc>
        <w:tc>
          <w:tcPr/>
          <w:p>
            <w:pPr>
              <w:pStyle w:val="Compact"/>
            </w:pPr>
            <w:r>
              <w:t xml:space="preserve">Quality of earnings and H2 bridge</w:t>
            </w:r>
          </w:p>
        </w:tc>
      </w:tr>
      <w:tr>
        <w:tc>
          <w:tcPr/>
          <w:p>
            <w:pPr>
              <w:pStyle w:val="Compact"/>
            </w:pPr>
            <w:r>
              <w:t xml:space="preserve">Adjusted EPS</w:t>
            </w:r>
          </w:p>
        </w:tc>
        <w:tc>
          <w:tcPr/>
          <w:p>
            <w:pPr>
              <w:pStyle w:val="Compact"/>
              <w:jc w:val="right"/>
            </w:pPr>
            <m:oMath>
              <m:r>
                <m:t>1.30</m:t>
              </m:r>
              <m:r>
                <m:rPr>
                  <m:sty m:val="p"/>
                </m:rPr>
                <m:t>–</m:t>
              </m:r>
            </m:oMath>
            <w:r>
              <w:rPr>
                <w:b/>
                <w:bCs/>
              </w:rPr>
              <w:t xml:space="preserve">1.50</w:t>
            </w:r>
          </w:p>
        </w:tc>
        <w:tc>
          <w:tcPr/>
          <w:p>
            <w:pPr>
              <w:pStyle w:val="Compact"/>
              <w:jc w:val="right"/>
            </w:pPr>
            <w:r>
              <w:t xml:space="preserve">Approximately</w:t>
            </w:r>
            <w:r>
              <w:t xml:space="preserve"> </w:t>
            </w:r>
            <m:oMath>
              <m:r>
                <m:t>1.42</m:t>
              </m:r>
              <m:r>
                <m:rPr>
                  <m:sty m:val="p"/>
                </m:rPr>
                <m:t>–</m:t>
              </m:r>
            </m:oMath>
            <w:r>
              <w:rPr>
                <w:b/>
                <w:bCs/>
              </w:rPr>
              <w:t xml:space="preserve">1.43</w:t>
            </w:r>
          </w:p>
        </w:tc>
        <w:tc>
          <w:tcPr/>
          <w:p>
            <w:pPr>
              <w:pStyle w:val="Compact"/>
            </w:pPr>
            <w:r>
              <w:t xml:space="preserve">Street sits just above management’s midpoint</w:t>
            </w:r>
          </w:p>
        </w:tc>
      </w:tr>
    </w:tbl>
    <w:p>
      <w:pPr>
        <w:pStyle w:val="BodyText"/>
      </w:pPr>
      <w:r>
        <w:t xml:space="preserve">Consensus is essentially centered within management’s ranges, leaving little distinction between a mechanical “beat” and execution materially better than planned. (</w:t>
      </w:r>
      <w:hyperlink r:id="rId11">
        <w:r>
          <w:rPr>
            <w:rStyle w:val="Hyperlink"/>
          </w:rPr>
          <w:t xml:space="preserve">ir.aptiv.com</w:t>
        </w:r>
      </w:hyperlink>
      <w:r>
        <w:t xml:space="preserve">)</w:t>
      </w:r>
    </w:p>
    <w:bookmarkStart w:id="13" w:name="full-year-guidance-currently-stands-at"/>
    <w:p>
      <w:pPr>
        <w:pStyle w:val="Heading3"/>
      </w:pPr>
      <w:r>
        <w:t xml:space="preserve">Full-year guidance currently stands at</w:t>
      </w:r>
    </w:p>
    <w:p>
      <w:pPr>
        <w:pStyle w:val="Compact"/>
        <w:numPr>
          <w:ilvl w:val="0"/>
          <w:numId w:val="1001"/>
        </w:numPr>
      </w:pPr>
      <w:r>
        <w:t xml:space="preserve">Revenue:</w:t>
      </w:r>
      <w:r>
        <w:t xml:space="preserve"> </w:t>
      </w:r>
      <m:oMath>
        <m:r>
          <m:t>12.8</m:t>
        </m:r>
        <m:r>
          <m:t>B</m:t>
        </m:r>
        <m:r>
          <m:rPr>
            <m:sty m:val="p"/>
          </m:rPr>
          <m:t>–</m:t>
        </m:r>
      </m:oMath>
      <w:r>
        <w:rPr>
          <w:b/>
          <w:bCs/>
        </w:rPr>
        <w:t xml:space="preserve">13.2B</w:t>
      </w:r>
    </w:p>
    <w:p>
      <w:pPr>
        <w:pStyle w:val="Compact"/>
        <w:numPr>
          <w:ilvl w:val="0"/>
          <w:numId w:val="1001"/>
        </w:numPr>
      </w:pPr>
      <w:r>
        <w:t xml:space="preserve">Adjusted revenue growth:</w:t>
      </w:r>
      <w:r>
        <w:t xml:space="preserve"> </w:t>
      </w:r>
      <w:r>
        <w:rPr>
          <w:b/>
          <w:bCs/>
        </w:rPr>
        <w:t xml:space="preserve">approximately 4% at midpoint</w:t>
      </w:r>
    </w:p>
    <w:p>
      <w:pPr>
        <w:pStyle w:val="Compact"/>
        <w:numPr>
          <w:ilvl w:val="0"/>
          <w:numId w:val="1001"/>
        </w:numPr>
      </w:pPr>
      <w:r>
        <w:t xml:space="preserve">Adjusted EBITDA:</w:t>
      </w:r>
      <w:r>
        <w:t xml:space="preserve"> </w:t>
      </w:r>
      <m:oMath>
        <m:r>
          <m:t>2.36</m:t>
        </m:r>
        <m:r>
          <m:t>B</m:t>
        </m:r>
        <m:r>
          <m:rPr>
            <m:sty m:val="p"/>
          </m:rPr>
          <m:t>–</m:t>
        </m:r>
      </m:oMath>
      <w:r>
        <w:rPr>
          <w:b/>
          <w:bCs/>
        </w:rPr>
        <w:t xml:space="preserve">2.48B</w:t>
      </w:r>
    </w:p>
    <w:p>
      <w:pPr>
        <w:pStyle w:val="Compact"/>
        <w:numPr>
          <w:ilvl w:val="0"/>
          <w:numId w:val="1001"/>
        </w:numPr>
      </w:pPr>
      <w:r>
        <w:t xml:space="preserve">Adjusted EBITDA margin:</w:t>
      </w:r>
      <w:r>
        <w:t xml:space="preserve"> </w:t>
      </w:r>
      <w:r>
        <w:rPr>
          <w:b/>
          <w:bCs/>
        </w:rPr>
        <w:t xml:space="preserve">18.6% at midpoint</w:t>
      </w:r>
    </w:p>
    <w:p>
      <w:pPr>
        <w:pStyle w:val="Compact"/>
        <w:numPr>
          <w:ilvl w:val="0"/>
          <w:numId w:val="1001"/>
        </w:numPr>
      </w:pPr>
      <w:r>
        <w:t xml:space="preserve">Adjusted EPS:</w:t>
      </w:r>
      <w:r>
        <w:t xml:space="preserve"> </w:t>
      </w:r>
      <m:oMath>
        <m:r>
          <m:t>5.70</m:t>
        </m:r>
        <m:r>
          <m:rPr>
            <m:sty m:val="p"/>
          </m:rPr>
          <m:t>–</m:t>
        </m:r>
      </m:oMath>
      <w:r>
        <w:rPr>
          <w:b/>
          <w:bCs/>
        </w:rPr>
        <w:t xml:space="preserve">6.10</w:t>
      </w:r>
    </w:p>
    <w:p>
      <w:pPr>
        <w:pStyle w:val="Compact"/>
        <w:numPr>
          <w:ilvl w:val="0"/>
          <w:numId w:val="1001"/>
        </w:numPr>
      </w:pPr>
      <w:r>
        <w:t xml:space="preserve">Free cash flow:</w:t>
      </w:r>
      <w:r>
        <w:t xml:space="preserve"> </w:t>
      </w:r>
      <m:oMath>
        <m:r>
          <m:t>650</m:t>
        </m:r>
        <m:r>
          <m:t>M</m:t>
        </m:r>
        <m:r>
          <m:rPr>
            <m:sty m:val="p"/>
          </m:rPr>
          <m:t>–</m:t>
        </m:r>
      </m:oMath>
      <w:r>
        <w:rPr>
          <w:b/>
          <w:bCs/>
        </w:rPr>
        <w:t xml:space="preserve">850M</w:t>
      </w:r>
    </w:p>
    <w:p>
      <w:pPr>
        <w:pStyle w:val="Compact"/>
        <w:numPr>
          <w:ilvl w:val="0"/>
          <w:numId w:val="1001"/>
        </w:numPr>
      </w:pPr>
      <w:r>
        <w:t xml:space="preserve">Adjusted tax rate:</w:t>
      </w:r>
      <w:r>
        <w:t xml:space="preserve"> </w:t>
      </w:r>
      <w:r>
        <w:rPr>
          <w:b/>
          <w:bCs/>
        </w:rPr>
        <w:t xml:space="preserve">approximately 18.5%</w:t>
      </w:r>
      <w:r>
        <w:t xml:space="preserve"> </w:t>
      </w:r>
      <w:r>
        <w:t xml:space="preserve">(</w:t>
      </w:r>
      <w:hyperlink r:id="rId12">
        <w:r>
          <w:rPr>
            <w:rStyle w:val="Hyperlink"/>
          </w:rPr>
          <w:t xml:space="preserve">s21.q4cdn.com</w:t>
        </w:r>
      </w:hyperlink>
      <w:r>
        <w:t xml:space="preserve">)</w:t>
      </w:r>
    </w:p>
    <w:p>
      <w:r>
        <w:pict>
          <v:rect style="width:0;height:1.5pt" o:hralign="center" o:hrstd="t" o:hr="t"/>
        </w:pict>
      </w:r>
    </w:p>
    <w:bookmarkEnd w:id="13"/>
    <w:bookmarkEnd w:id="14"/>
    <w:bookmarkStart w:id="20" w:name="X45c22c0a3b9274a3cc06857c639deae0f581b4f"/>
    <w:p>
      <w:pPr>
        <w:pStyle w:val="Heading2"/>
      </w:pPr>
      <w:r>
        <w:t xml:space="preserve">The five issues that should determine the reaction</w:t>
      </w:r>
    </w:p>
    <w:bookmarkStart w:id="15" w:name="X6a1e200a4104e9ca09c757527711aa96f5b3d0d"/>
    <w:p>
      <w:pPr>
        <w:pStyle w:val="Heading3"/>
      </w:pPr>
      <w:r>
        <w:t xml:space="preserve">1. Can management validate the second-half acceleration?</w:t>
      </w:r>
    </w:p>
    <w:p>
      <w:pPr>
        <w:pStyle w:val="FirstParagraph"/>
      </w:pPr>
      <w:r>
        <w:t xml:space="preserve">First-quarter pro forma New Aptiv revenue was</w:t>
      </w:r>
      <w:r>
        <w:t xml:space="preserve"> </w:t>
      </w:r>
      <m:oMath>
        <m:r>
          <m:t>3.07</m:t>
        </m:r>
        <m:r>
          <m:t>b</m:t>
        </m:r>
        <m:r>
          <m:t>i</m:t>
        </m:r>
        <m:r>
          <m:t>l</m:t>
        </m:r>
        <m:r>
          <m:t>l</m:t>
        </m:r>
        <m:r>
          <m:t>i</m:t>
        </m:r>
        <m:r>
          <m:t>o</m:t>
        </m:r>
        <m:r>
          <m:t>n</m:t>
        </m:r>
        <m:r>
          <m:rPr>
            <m:sty m:val="p"/>
          </m:rPr>
          <m:t>*</m:t>
        </m:r>
        <m:r>
          <m:rPr>
            <m:sty m:val="p"/>
          </m:rPr>
          <m:t>*</m:t>
        </m:r>
        <m:r>
          <m:rPr>
            <m:sty m:val="p"/>
          </m:rPr>
          <m:t>,</m:t>
        </m:r>
        <m:r>
          <m:t>w</m:t>
        </m:r>
        <m:r>
          <m:t>i</m:t>
        </m:r>
        <m:r>
          <m:t>t</m:t>
        </m:r>
        <m:r>
          <m:t>h</m:t>
        </m:r>
        <m:r>
          <m:t>a</m:t>
        </m:r>
        <m:r>
          <m:t>d</m:t>
        </m:r>
        <m:r>
          <m:t>j</m:t>
        </m:r>
        <m:r>
          <m:t>u</m:t>
        </m:r>
        <m:r>
          <m:t>s</m:t>
        </m:r>
        <m:r>
          <m:t>t</m:t>
        </m:r>
        <m:r>
          <m:t>e</m:t>
        </m:r>
        <m:r>
          <m:t>d</m:t>
        </m:r>
        <m:r>
          <m:t>E</m:t>
        </m:r>
        <m:r>
          <m:t>B</m:t>
        </m:r>
        <m:r>
          <m:t>I</m:t>
        </m:r>
        <m:r>
          <m:t>T</m:t>
        </m:r>
        <m:r>
          <m:t>D</m:t>
        </m:r>
        <m:r>
          <m:t>A</m:t>
        </m:r>
        <m:r>
          <m:t>o</m:t>
        </m:r>
        <m:r>
          <m:t>f</m:t>
        </m:r>
        <m:r>
          <m:rPr>
            <m:sty m:val="p"/>
          </m:rPr>
          <m:t>*</m:t>
        </m:r>
        <m:r>
          <m:rPr>
            <m:sty m:val="p"/>
          </m:rPr>
          <m:t>*</m:t>
        </m:r>
      </m:oMath>
      <w:r>
        <w:rPr>
          <w:b/>
          <w:bCs/>
        </w:rPr>
        <w:t xml:space="preserve">549 million</w:t>
      </w:r>
      <w:r>
        <w:t xml:space="preserve">, or about a</w:t>
      </w:r>
      <w:r>
        <w:t xml:space="preserve"> </w:t>
      </w:r>
      <w:r>
        <w:rPr>
          <w:b/>
          <w:bCs/>
        </w:rPr>
        <w:t xml:space="preserve">17.9% margin</w:t>
      </w:r>
      <w:r>
        <w:t xml:space="preserve">. Q2 guidance implies $3.3 billion of revenue and $580 million of EBITDA at the midpoint, equivalent to a 17.6% margin. (</w:t>
      </w:r>
      <w:hyperlink r:id="rId12">
        <w:r>
          <w:rPr>
            <w:rStyle w:val="Hyperlink"/>
          </w:rPr>
          <w:t xml:space="preserve">s21.q4cdn.com</w:t>
        </w:r>
      </w:hyperlink>
      <w:r>
        <w:t xml:space="preserve">)</w:t>
      </w:r>
    </w:p>
    <w:p>
      <w:pPr>
        <w:pStyle w:val="BodyText"/>
      </w:pPr>
      <w:r>
        <w:t xml:space="preserve">To reach the full-year midpoint, the second half needs approximately:</w:t>
      </w:r>
    </w:p>
    <w:p>
      <w:pPr>
        <w:pStyle w:val="Compact"/>
        <w:numPr>
          <w:ilvl w:val="0"/>
          <w:numId w:val="1002"/>
        </w:numPr>
      </w:pPr>
      <w:r>
        <w:rPr>
          <w:b/>
          <w:bCs/>
        </w:rPr>
        <w:t xml:space="preserve">$6.63 billion of revenue</w:t>
      </w:r>
      <w:r>
        <w:t xml:space="preserve">, or $3.32 billion per quarter on average; and</w:t>
      </w:r>
    </w:p>
    <w:p>
      <w:pPr>
        <w:pStyle w:val="Compact"/>
        <w:numPr>
          <w:ilvl w:val="0"/>
          <w:numId w:val="1002"/>
        </w:numPr>
      </w:pPr>
      <w:r>
        <w:rPr>
          <w:b/>
          <w:bCs/>
        </w:rPr>
        <w:t xml:space="preserve">$1.29 billion of adjusted EBITDA</w:t>
      </w:r>
      <w:r>
        <w:t xml:space="preserve">, implying a margin near</w:t>
      </w:r>
      <w:r>
        <w:t xml:space="preserve"> </w:t>
      </w:r>
      <w:r>
        <w:rPr>
          <w:b/>
          <w:bCs/>
        </w:rPr>
        <w:t xml:space="preserve">19.5%</w:t>
      </w:r>
      <w:r>
        <w:t xml:space="preserve">.</w:t>
      </w:r>
    </w:p>
    <w:p>
      <w:pPr>
        <w:pStyle w:val="FirstParagraph"/>
      </w:pPr>
      <w:r>
        <w:t xml:space="preserve">Thus, the revenue hurdle is not especially aggressive in absolute dollars, but the profitability hurdle is meaningful. Management previously attributed the expected improvement to:</w:t>
      </w:r>
    </w:p>
    <w:p>
      <w:pPr>
        <w:pStyle w:val="Compact"/>
        <w:numPr>
          <w:ilvl w:val="0"/>
          <w:numId w:val="1003"/>
        </w:numPr>
      </w:pPr>
      <w:r>
        <w:t xml:space="preserve">Engineering recoveries that tend to occur later in the year;</w:t>
      </w:r>
    </w:p>
    <w:p>
      <w:pPr>
        <w:pStyle w:val="Compact"/>
        <w:numPr>
          <w:ilvl w:val="0"/>
          <w:numId w:val="1003"/>
        </w:numPr>
      </w:pPr>
      <w:r>
        <w:t xml:space="preserve">Commodity recoveries arriving with a three- to four-month lag;</w:t>
      </w:r>
    </w:p>
    <w:p>
      <w:pPr>
        <w:pStyle w:val="Compact"/>
        <w:numPr>
          <w:ilvl w:val="0"/>
          <w:numId w:val="1003"/>
        </w:numPr>
      </w:pPr>
      <w:r>
        <w:t xml:space="preserve">Greater second-half software and services revenue;</w:t>
      </w:r>
    </w:p>
    <w:p>
      <w:pPr>
        <w:pStyle w:val="Compact"/>
        <w:numPr>
          <w:ilvl w:val="0"/>
          <w:numId w:val="1003"/>
        </w:numPr>
      </w:pPr>
      <w:r>
        <w:t xml:space="preserve">New program launches and ramps;</w:t>
      </w:r>
    </w:p>
    <w:p>
      <w:pPr>
        <w:pStyle w:val="Compact"/>
        <w:numPr>
          <w:ilvl w:val="0"/>
          <w:numId w:val="1003"/>
        </w:numPr>
      </w:pPr>
      <w:r>
        <w:t xml:space="preserve">Recovery from a North American customer’s supplier-fire disruption; and</w:t>
      </w:r>
    </w:p>
    <w:p>
      <w:pPr>
        <w:pStyle w:val="Compact"/>
        <w:numPr>
          <w:ilvl w:val="0"/>
          <w:numId w:val="1003"/>
        </w:numPr>
      </w:pPr>
      <w:r>
        <w:t xml:space="preserve">Anniversarying canceled Chinese programs.</w:t>
      </w:r>
    </w:p>
    <w:p>
      <w:pPr>
        <w:pStyle w:val="FirstParagraph"/>
      </w:pPr>
      <w:r>
        <w:t xml:space="preserve">Investors should listen for any change in the timing or confidence attached to those items. Even with a Q2 beat, weaker confidence in the second-half margin bridge would be a negative read-through.</w:t>
      </w:r>
    </w:p>
    <w:bookmarkEnd w:id="15"/>
    <w:bookmarkStart w:id="16" w:name="X425a6bec86c3fe4340d83620c302900d1c8ecd6"/>
    <w:p>
      <w:pPr>
        <w:pStyle w:val="Heading3"/>
      </w:pPr>
      <w:r>
        <w:t xml:space="preserve">2. Intelligent Systems needs better growth—not just strategic promise</w:t>
      </w:r>
    </w:p>
    <w:p>
      <w:pPr>
        <w:pStyle w:val="FirstParagraph"/>
      </w:pPr>
      <w:r>
        <w:t xml:space="preserve">In Q1, Intelligent Systems posted:</w:t>
      </w:r>
    </w:p>
    <w:p>
      <w:pPr>
        <w:pStyle w:val="Compact"/>
        <w:numPr>
          <w:ilvl w:val="0"/>
          <w:numId w:val="1004"/>
        </w:numPr>
      </w:pPr>
      <w:r>
        <w:t xml:space="preserve">Revenue of</w:t>
      </w:r>
      <w:r>
        <w:t xml:space="preserve"> </w:t>
      </w:r>
      <w:r>
        <w:rPr>
          <w:b/>
          <w:bCs/>
        </w:rPr>
        <w:t xml:space="preserve">$1.43 billion</w:t>
      </w:r>
      <w:r>
        <w:t xml:space="preserve">;</w:t>
      </w:r>
    </w:p>
    <w:p>
      <w:pPr>
        <w:pStyle w:val="Compact"/>
        <w:numPr>
          <w:ilvl w:val="0"/>
          <w:numId w:val="1004"/>
        </w:numPr>
      </w:pPr>
      <w:r>
        <w:t xml:space="preserve">Adjusted organic growth of</w:t>
      </w:r>
      <w:r>
        <w:t xml:space="preserve"> </w:t>
      </w:r>
      <w:r>
        <w:rPr>
          <w:b/>
          <w:bCs/>
        </w:rPr>
        <w:t xml:space="preserve">-1%</w:t>
      </w:r>
      <w:r>
        <w:t xml:space="preserve">;</w:t>
      </w:r>
    </w:p>
    <w:p>
      <w:pPr>
        <w:pStyle w:val="Compact"/>
        <w:numPr>
          <w:ilvl w:val="0"/>
          <w:numId w:val="1004"/>
        </w:numPr>
      </w:pPr>
      <w:r>
        <w:t xml:space="preserve">Adjusted EBITDA of</w:t>
      </w:r>
      <w:r>
        <w:t xml:space="preserve"> </w:t>
      </w:r>
      <w:r>
        <w:rPr>
          <w:b/>
          <w:bCs/>
        </w:rPr>
        <w:t xml:space="preserve">$195 million</w:t>
      </w:r>
      <w:r>
        <w:t xml:space="preserve">;</w:t>
      </w:r>
    </w:p>
    <w:p>
      <w:pPr>
        <w:pStyle w:val="Compact"/>
        <w:numPr>
          <w:ilvl w:val="0"/>
          <w:numId w:val="1004"/>
        </w:numPr>
      </w:pPr>
      <w:r>
        <w:t xml:space="preserve">EBITDA margin of</w:t>
      </w:r>
      <w:r>
        <w:t xml:space="preserve"> </w:t>
      </w:r>
      <w:r>
        <w:rPr>
          <w:b/>
          <w:bCs/>
        </w:rPr>
        <w:t xml:space="preserve">13.6%</w:t>
      </w:r>
      <w:r>
        <w:t xml:space="preserve">, down from 14.5%;</w:t>
      </w:r>
    </w:p>
    <w:p>
      <w:pPr>
        <w:pStyle w:val="Compact"/>
        <w:numPr>
          <w:ilvl w:val="0"/>
          <w:numId w:val="1004"/>
        </w:numPr>
      </w:pPr>
      <w:r>
        <w:t xml:space="preserve">Software and services growth of</w:t>
      </w:r>
      <w:r>
        <w:t xml:space="preserve"> </w:t>
      </w:r>
      <w:r>
        <w:rPr>
          <w:b/>
          <w:bCs/>
        </w:rPr>
        <w:t xml:space="preserve">10%</w:t>
      </w:r>
      <w:r>
        <w:t xml:space="preserve">; and</w:t>
      </w:r>
    </w:p>
    <w:p>
      <w:pPr>
        <w:pStyle w:val="Compact"/>
        <w:numPr>
          <w:ilvl w:val="0"/>
          <w:numId w:val="1004"/>
        </w:numPr>
      </w:pPr>
      <w:r>
        <w:t xml:space="preserve">Sensors and compute growth of</w:t>
      </w:r>
      <w:r>
        <w:t xml:space="preserve"> </w:t>
      </w:r>
      <w:r>
        <w:rPr>
          <w:b/>
          <w:bCs/>
        </w:rPr>
        <w:t xml:space="preserve">-2%</w:t>
      </w:r>
      <w:r>
        <w:t xml:space="preserve">. (</w:t>
      </w:r>
      <w:hyperlink r:id="rId12">
        <w:r>
          <w:rPr>
            <w:rStyle w:val="Hyperlink"/>
          </w:rPr>
          <w:t xml:space="preserve">s21.q4cdn.com</w:t>
        </w:r>
      </w:hyperlink>
      <w:r>
        <w:t xml:space="preserve">)</w:t>
      </w:r>
    </w:p>
    <w:p>
      <w:pPr>
        <w:pStyle w:val="FirstParagraph"/>
      </w:pPr>
      <w:r>
        <w:t xml:space="preserve">The segment was held back by production disruption at a large North American customer, canceled China programs and slower program ramps in Europe and China. Management expected the North American disruption to recover later in the year and projected stronger China performance beginning in Q2.</w:t>
      </w:r>
    </w:p>
    <w:p>
      <w:pPr>
        <w:pStyle w:val="BodyText"/>
      </w:pPr>
      <w:r>
        <w:t xml:space="preserve">The most important disclosures will be:</w:t>
      </w:r>
    </w:p>
    <w:p>
      <w:pPr>
        <w:pStyle w:val="Compact"/>
        <w:numPr>
          <w:ilvl w:val="0"/>
          <w:numId w:val="1005"/>
        </w:numPr>
      </w:pPr>
      <w:r>
        <w:t xml:space="preserve">Whether China returned to positive growth;</w:t>
      </w:r>
    </w:p>
    <w:p>
      <w:pPr>
        <w:pStyle w:val="Compact"/>
        <w:numPr>
          <w:ilvl w:val="0"/>
          <w:numId w:val="1005"/>
        </w:numPr>
      </w:pPr>
      <w:r>
        <w:t xml:space="preserve">Whether the affected North American customer is returning to schedule;</w:t>
      </w:r>
    </w:p>
    <w:p>
      <w:pPr>
        <w:pStyle w:val="Compact"/>
        <w:numPr>
          <w:ilvl w:val="0"/>
          <w:numId w:val="1005"/>
        </w:numPr>
      </w:pPr>
      <w:r>
        <w:t xml:space="preserve">The pace of ADAS and user-experience launches;</w:t>
      </w:r>
    </w:p>
    <w:p>
      <w:pPr>
        <w:pStyle w:val="Compact"/>
        <w:numPr>
          <w:ilvl w:val="0"/>
          <w:numId w:val="1005"/>
        </w:numPr>
      </w:pPr>
      <w:r>
        <w:t xml:space="preserve">Whether software growth remains double-digit; and</w:t>
      </w:r>
    </w:p>
    <w:p>
      <w:pPr>
        <w:pStyle w:val="Compact"/>
        <w:numPr>
          <w:ilvl w:val="0"/>
          <w:numId w:val="1005"/>
        </w:numPr>
      </w:pPr>
      <w:r>
        <w:t xml:space="preserve">Whether incremental non-automotive investment continues to dilute near-term margins.</w:t>
      </w:r>
    </w:p>
    <w:p>
      <w:pPr>
        <w:pStyle w:val="FirstParagraph"/>
      </w:pPr>
      <w:r>
        <w:t xml:space="preserve">A good quarter would combine improving sensors-and-compute growth with continued software momentum. Software strength alone may not be enough if the larger hardware portfolio remains sluggish.</w:t>
      </w:r>
    </w:p>
    <w:bookmarkEnd w:id="16"/>
    <w:bookmarkStart w:id="17" w:name="Xe424fa55593a75f600855a3827004dc766a4236"/>
    <w:p>
      <w:pPr>
        <w:pStyle w:val="Heading3"/>
      </w:pPr>
      <w:r>
        <w:t xml:space="preserve">3. Commodity recoveries must begin catching up</w:t>
      </w:r>
    </w:p>
    <w:p>
      <w:pPr>
        <w:pStyle w:val="FirstParagraph"/>
      </w:pPr>
      <w:r>
        <w:t xml:space="preserve">Aptiv entered Q2 facing greater-than-planned inflation in copper, gold, silver and petroleum-based resins. Its Q1 presentation indicated:</w:t>
      </w:r>
    </w:p>
    <w:p>
      <w:pPr>
        <w:pStyle w:val="Compact"/>
        <w:numPr>
          <w:ilvl w:val="0"/>
          <w:numId w:val="1006"/>
        </w:numPr>
      </w:pPr>
      <w:r>
        <w:t xml:space="preserve">Approximately</w:t>
      </w:r>
      <w:r>
        <w:t xml:space="preserve"> </w:t>
      </w:r>
      <w:r>
        <w:rPr>
          <w:b/>
          <w:bCs/>
        </w:rPr>
        <w:t xml:space="preserve">100 million pounds of copper exposure</w:t>
      </w:r>
      <w:r>
        <w:t xml:space="preserve">;</w:t>
      </w:r>
    </w:p>
    <w:p>
      <w:pPr>
        <w:pStyle w:val="Compact"/>
        <w:numPr>
          <w:ilvl w:val="0"/>
          <w:numId w:val="1006"/>
        </w:numPr>
      </w:pPr>
      <w:r>
        <w:t xml:space="preserve">Roughly</w:t>
      </w:r>
      <w:r>
        <w:t xml:space="preserve"> </w:t>
      </w:r>
      <w:r>
        <w:rPr>
          <w:b/>
          <w:bCs/>
        </w:rPr>
        <w:t xml:space="preserve">60% of copper purchases</w:t>
      </w:r>
      <w:r>
        <w:t xml:space="preserve"> </w:t>
      </w:r>
      <w:r>
        <w:t xml:space="preserve">passed through contractually, but with a lag;</w:t>
      </w:r>
    </w:p>
    <w:p>
      <w:pPr>
        <w:pStyle w:val="Compact"/>
        <w:numPr>
          <w:ilvl w:val="0"/>
          <w:numId w:val="1006"/>
        </w:numPr>
      </w:pPr>
      <w:r>
        <w:t xml:space="preserve">Approximately</w:t>
      </w:r>
      <w:r>
        <w:t xml:space="preserve"> </w:t>
      </w:r>
      <w:r>
        <w:rPr>
          <w:b/>
          <w:bCs/>
        </w:rPr>
        <w:t xml:space="preserve">$500 million of resin purchases</w:t>
      </w:r>
      <w:r>
        <w:t xml:space="preserve">;</w:t>
      </w:r>
    </w:p>
    <w:p>
      <w:pPr>
        <w:pStyle w:val="Compact"/>
        <w:numPr>
          <w:ilvl w:val="0"/>
          <w:numId w:val="1006"/>
        </w:numPr>
      </w:pPr>
      <w:r>
        <w:t xml:space="preserve">No standard pass-through mechanism for much of its resin and precious-metals exposure; and</w:t>
      </w:r>
    </w:p>
    <w:p>
      <w:pPr>
        <w:pStyle w:val="Compact"/>
        <w:numPr>
          <w:ilvl w:val="0"/>
          <w:numId w:val="1006"/>
        </w:numPr>
      </w:pPr>
      <w:r>
        <w:t xml:space="preserve">Approximately</w:t>
      </w:r>
      <w:r>
        <w:t xml:space="preserve"> </w:t>
      </w:r>
      <w:r>
        <w:rPr>
          <w:b/>
          <w:bCs/>
        </w:rPr>
        <w:t xml:space="preserve">95% of its 2026 Mexican-peso exposure hedged</w:t>
      </w:r>
      <w:r>
        <w:t xml:space="preserve">. (</w:t>
      </w:r>
      <w:hyperlink r:id="rId12">
        <w:r>
          <w:rPr>
            <w:rStyle w:val="Hyperlink"/>
          </w:rPr>
          <w:t xml:space="preserve">s21.q4cdn.com</w:t>
        </w:r>
      </w:hyperlink>
      <w:r>
        <w:t xml:space="preserve">)</w:t>
      </w:r>
    </w:p>
    <w:p>
      <w:pPr>
        <w:pStyle w:val="FirstParagraph"/>
      </w:pPr>
      <w:r>
        <w:t xml:space="preserve">Management previously said it could offset the increased commodity burden through productivity and commercial negotiations without relying entirely on customer recoveries. The report needs to demonstrate that assertion in the EBITDA margin.</w:t>
      </w:r>
    </w:p>
    <w:p>
      <w:pPr>
        <w:pStyle w:val="BodyText"/>
      </w:pPr>
      <w:r>
        <w:rPr>
          <w:b/>
          <w:bCs/>
        </w:rPr>
        <w:t xml:space="preserve">What would be reassuring:</w:t>
      </w:r>
      <w:r>
        <w:t xml:space="preserve"> </w:t>
      </w:r>
      <w:r>
        <w:t xml:space="preserve">commodity headwinds are no worse than expected, recovery discussions are proceeding normally and the 18.6% full-year margin target is maintained.</w:t>
      </w:r>
    </w:p>
    <w:p>
      <w:pPr>
        <w:pStyle w:val="BodyText"/>
      </w:pPr>
      <w:r>
        <w:rPr>
          <w:b/>
          <w:bCs/>
        </w:rPr>
        <w:t xml:space="preserve">What would be concerning:</w:t>
      </w:r>
      <w:r>
        <w:t xml:space="preserve"> </w:t>
      </w:r>
      <w:r>
        <w:t xml:space="preserve">higher commodity costs are again arriving faster than recoveries, pushing the expected benefit into 2027 or requiring additional internal cost reductions.</w:t>
      </w:r>
    </w:p>
    <w:bookmarkEnd w:id="17"/>
    <w:bookmarkStart w:id="18" w:name="Xd7f25dbb03759b2c6dc5390ca4e07633bb98318"/>
    <w:p>
      <w:pPr>
        <w:pStyle w:val="Heading3"/>
      </w:pPr>
      <w:r>
        <w:t xml:space="preserve">4. Cash flow needs a credible path back to the target</w:t>
      </w:r>
    </w:p>
    <w:p>
      <w:pPr>
        <w:pStyle w:val="FirstParagraph"/>
      </w:pPr>
      <w:r>
        <w:t xml:space="preserve">First-quarter total-company free cash flow was</w:t>
      </w:r>
      <w:r>
        <w:t xml:space="preserve"> </w:t>
      </w:r>
      <w:r>
        <w:rPr>
          <w:b/>
          <w:bCs/>
        </w:rPr>
        <w:t xml:space="preserve">negative $362 million</w:t>
      </w:r>
      <w:r>
        <w:t xml:space="preserve">, including approximately</w:t>
      </w:r>
      <w:r>
        <w:t xml:space="preserve"> </w:t>
      </w:r>
      <m:oMath>
        <m:r>
          <m:t>260</m:t>
        </m:r>
        <m:r>
          <m:t>m</m:t>
        </m:r>
        <m:r>
          <m:t>i</m:t>
        </m:r>
        <m:r>
          <m:t>l</m:t>
        </m:r>
        <m:r>
          <m:t>l</m:t>
        </m:r>
        <m:r>
          <m:t>i</m:t>
        </m:r>
        <m:r>
          <m:t>o</m:t>
        </m:r>
        <m:r>
          <m:t>n</m:t>
        </m:r>
        <m:r>
          <m:t>o</m:t>
        </m:r>
        <m:r>
          <m:t>f</m:t>
        </m:r>
        <m:r>
          <m:t>s</m:t>
        </m:r>
        <m:r>
          <m:t>p</m:t>
        </m:r>
        <m:r>
          <m:t>i</m:t>
        </m:r>
        <m:r>
          <m:t>n</m:t>
        </m:r>
        <m:r>
          <m:rPr>
            <m:sty m:val="p"/>
          </m:rPr>
          <m:t>−</m:t>
        </m:r>
        <m:r>
          <m:t>r</m:t>
        </m:r>
        <m:r>
          <m:t>e</m:t>
        </m:r>
        <m:r>
          <m:t>l</m:t>
        </m:r>
        <m:r>
          <m:t>a</m:t>
        </m:r>
        <m:r>
          <m:t>t</m:t>
        </m:r>
        <m:r>
          <m:t>e</m:t>
        </m:r>
        <m:r>
          <m:t>d</m:t>
        </m:r>
        <m:r>
          <m:t>t</m:t>
        </m:r>
        <m:r>
          <m:t>r</m:t>
        </m:r>
        <m:r>
          <m:t>a</m:t>
        </m:r>
        <m:r>
          <m:t>n</m:t>
        </m:r>
        <m:r>
          <m:t>s</m:t>
        </m:r>
        <m:r>
          <m:t>a</m:t>
        </m:r>
        <m:r>
          <m:t>c</m:t>
        </m:r>
        <m:r>
          <m:t>t</m:t>
        </m:r>
        <m:r>
          <m:t>i</m:t>
        </m:r>
        <m:r>
          <m:t>o</m:t>
        </m:r>
        <m:r>
          <m:t>n</m:t>
        </m:r>
        <m:r>
          <m:t>p</m:t>
        </m:r>
        <m:r>
          <m:t>a</m:t>
        </m:r>
        <m:r>
          <m:t>y</m:t>
        </m:r>
        <m:r>
          <m:t>m</m:t>
        </m:r>
        <m:r>
          <m:t>e</m:t>
        </m:r>
        <m:r>
          <m:t>n</m:t>
        </m:r>
        <m:r>
          <m:t>t</m:t>
        </m:r>
        <m:r>
          <m:t>s</m:t>
        </m:r>
        <m:r>
          <m:rPr>
            <m:sty m:val="p"/>
          </m:rPr>
          <m:t>.</m:t>
        </m:r>
        <m:r>
          <m:t>A</m:t>
        </m:r>
        <m:r>
          <m:t>p</m:t>
        </m:r>
        <m:r>
          <m:t>t</m:t>
        </m:r>
        <m:r>
          <m:t>i</m:t>
        </m:r>
        <m:r>
          <m:t>v</m:t>
        </m:r>
        <m:r>
          <m:rPr>
            <m:sty m:val="p"/>
          </m:rPr>
          <m:t>’</m:t>
        </m:r>
        <m:r>
          <m:t>s</m:t>
        </m:r>
        <m:r>
          <m:t>f</m:t>
        </m:r>
        <m:r>
          <m:t>u</m:t>
        </m:r>
        <m:r>
          <m:t>l</m:t>
        </m:r>
        <m:r>
          <m:t>l</m:t>
        </m:r>
        <m:r>
          <m:rPr>
            <m:sty m:val="p"/>
          </m:rPr>
          <m:t>−</m:t>
        </m:r>
        <m:r>
          <m:t>y</m:t>
        </m:r>
        <m:r>
          <m:t>e</m:t>
        </m:r>
        <m:r>
          <m:t>a</m:t>
        </m:r>
        <m:r>
          <m:t>r</m:t>
        </m:r>
        <m:r>
          <m:t>m</m:t>
        </m:r>
        <m:r>
          <m:t>i</m:t>
        </m:r>
        <m:r>
          <m:t>d</m:t>
        </m:r>
        <m:r>
          <m:t>p</m:t>
        </m:r>
        <m:r>
          <m:t>o</m:t>
        </m:r>
        <m:r>
          <m:t>i</m:t>
        </m:r>
        <m:r>
          <m:t>n</m:t>
        </m:r>
        <m:r>
          <m:t>t</m:t>
        </m:r>
        <m:r>
          <m:t>r</m:t>
        </m:r>
        <m:r>
          <m:t>e</m:t>
        </m:r>
        <m:r>
          <m:t>m</m:t>
        </m:r>
        <m:r>
          <m:t>a</m:t>
        </m:r>
        <m:r>
          <m:t>i</m:t>
        </m:r>
        <m:r>
          <m:t>n</m:t>
        </m:r>
        <m:r>
          <m:t>s</m:t>
        </m:r>
        <m:r>
          <m:rPr>
            <m:sty m:val="p"/>
          </m:rPr>
          <m:t>*</m:t>
        </m:r>
        <m:r>
          <m:rPr>
            <m:sty m:val="p"/>
          </m:rPr>
          <m:t>*</m:t>
        </m:r>
      </m:oMath>
      <w:r>
        <w:t xml:space="preserve">750 million**, based on roughly $1.42 billion of operating cash flow and $665 million of capital expenditures. (</w:t>
      </w:r>
      <w:hyperlink r:id="rId11">
        <w:r>
          <w:rPr>
            <w:rStyle w:val="Hyperlink"/>
          </w:rPr>
          <w:t xml:space="preserve">ir.aptiv.com</w:t>
        </w:r>
      </w:hyperlink>
      <w:r>
        <w:t xml:space="preserve">)</w:t>
      </w:r>
    </w:p>
    <w:p>
      <w:pPr>
        <w:pStyle w:val="BodyText"/>
      </w:pPr>
      <w:r>
        <w:t xml:space="preserve">Q2 was also expected to contain approximately $100 million of New Aptiv separation costs, with roughly $80 million of certain tax-related payments expected to be recovered later in the year. Therefore, Q2 cash flow may still be noisy.</w:t>
      </w:r>
    </w:p>
    <w:p>
      <w:pPr>
        <w:pStyle w:val="BodyText"/>
      </w:pPr>
      <w:r>
        <w:t xml:space="preserve">Investors should focus less on the isolated quarterly result and more on:</w:t>
      </w:r>
    </w:p>
    <w:p>
      <w:pPr>
        <w:pStyle w:val="Compact"/>
        <w:numPr>
          <w:ilvl w:val="0"/>
          <w:numId w:val="1007"/>
        </w:numPr>
      </w:pPr>
      <w:r>
        <w:t xml:space="preserve">Remaining separation cash costs;</w:t>
      </w:r>
    </w:p>
    <w:p>
      <w:pPr>
        <w:pStyle w:val="Compact"/>
        <w:numPr>
          <w:ilvl w:val="0"/>
          <w:numId w:val="1007"/>
        </w:numPr>
      </w:pPr>
      <w:r>
        <w:t xml:space="preserve">Working-capital normalization;</w:t>
      </w:r>
    </w:p>
    <w:p>
      <w:pPr>
        <w:pStyle w:val="Compact"/>
        <w:numPr>
          <w:ilvl w:val="0"/>
          <w:numId w:val="1007"/>
        </w:numPr>
      </w:pPr>
      <w:r>
        <w:t xml:space="preserve">Semiconductor supply-chain investments;</w:t>
      </w:r>
    </w:p>
    <w:p>
      <w:pPr>
        <w:pStyle w:val="Compact"/>
        <w:numPr>
          <w:ilvl w:val="0"/>
          <w:numId w:val="1007"/>
        </w:numPr>
      </w:pPr>
      <w:r>
        <w:t xml:space="preserve">Expected timing of tax recoveries;</w:t>
      </w:r>
    </w:p>
    <w:p>
      <w:pPr>
        <w:pStyle w:val="Compact"/>
        <w:numPr>
          <w:ilvl w:val="0"/>
          <w:numId w:val="1007"/>
        </w:numPr>
      </w:pPr>
      <w:r>
        <w:t xml:space="preserve">Capital-expenditure discipline; and</w:t>
      </w:r>
    </w:p>
    <w:p>
      <w:pPr>
        <w:pStyle w:val="Compact"/>
        <w:numPr>
          <w:ilvl w:val="0"/>
          <w:numId w:val="1007"/>
        </w:numPr>
      </w:pPr>
      <w:r>
        <w:t xml:space="preserve">Confidence in the</w:t>
      </w:r>
      <w:r>
        <w:t xml:space="preserve"> </w:t>
      </w:r>
      <m:oMath>
        <m:r>
          <m:t>650</m:t>
        </m:r>
        <m:r>
          <m:t>m</m:t>
        </m:r>
        <m:r>
          <m:t>i</m:t>
        </m:r>
        <m:r>
          <m:t>l</m:t>
        </m:r>
        <m:r>
          <m:t>l</m:t>
        </m:r>
        <m:r>
          <m:t>i</m:t>
        </m:r>
        <m:r>
          <m:t>o</m:t>
        </m:r>
        <m:r>
          <m:t>n</m:t>
        </m:r>
        <m:r>
          <m:rPr>
            <m:sty m:val="p"/>
          </m:rPr>
          <m:t>–</m:t>
        </m:r>
      </m:oMath>
      <w:r>
        <w:t xml:space="preserve">850 million full-year range.</w:t>
      </w:r>
    </w:p>
    <w:p>
      <w:pPr>
        <w:pStyle w:val="FirstParagraph"/>
      </w:pPr>
      <w:r>
        <w:t xml:space="preserve">Any cut to free-cash-flow guidance would weaken the post-spin investment case, which depends heavily on improved cash conversion and capital allocation.</w:t>
      </w:r>
    </w:p>
    <w:bookmarkEnd w:id="18"/>
    <w:bookmarkStart w:id="19" w:name="X38db1754c9cbe2e574b94c3a16dac6bdac30746"/>
    <w:p>
      <w:pPr>
        <w:pStyle w:val="Heading3"/>
      </w:pPr>
      <w:r>
        <w:t xml:space="preserve">5. Bookings and diversification need to convert into revenue</w:t>
      </w:r>
    </w:p>
    <w:p>
      <w:pPr>
        <w:pStyle w:val="FirstParagraph"/>
      </w:pPr>
      <w:r>
        <w:t xml:space="preserve">New Aptiv secured</w:t>
      </w:r>
      <w:r>
        <w:t xml:space="preserve"> </w:t>
      </w:r>
      <w:r>
        <w:rPr>
          <w:b/>
          <w:bCs/>
        </w:rPr>
        <w:t xml:space="preserve">$4.6 billion of bookings in Q1</w:t>
      </w:r>
      <w:r>
        <w:t xml:space="preserve">, including approximately:</w:t>
      </w:r>
    </w:p>
    <w:p>
      <w:pPr>
        <w:pStyle w:val="Compact"/>
        <w:numPr>
          <w:ilvl w:val="0"/>
          <w:numId w:val="1008"/>
        </w:numPr>
      </w:pPr>
      <w:r>
        <w:rPr>
          <w:b/>
          <w:bCs/>
        </w:rPr>
        <w:t xml:space="preserve">$900 million from non-automotive customers</w:t>
      </w:r>
      <w:r>
        <w:t xml:space="preserve">;</w:t>
      </w:r>
    </w:p>
    <w:p>
      <w:pPr>
        <w:pStyle w:val="Compact"/>
        <w:numPr>
          <w:ilvl w:val="0"/>
          <w:numId w:val="1008"/>
        </w:numPr>
      </w:pPr>
      <w:r>
        <w:rPr>
          <w:b/>
          <w:bCs/>
        </w:rPr>
        <w:t xml:space="preserve">$900 million from local Chinese OEMs</w:t>
      </w:r>
      <w:r>
        <w:t xml:space="preserve">; and</w:t>
      </w:r>
    </w:p>
    <w:p>
      <w:pPr>
        <w:pStyle w:val="Compact"/>
        <w:numPr>
          <w:ilvl w:val="0"/>
          <w:numId w:val="1008"/>
        </w:numPr>
      </w:pPr>
      <w:r>
        <w:rPr>
          <w:b/>
          <w:bCs/>
        </w:rPr>
        <w:t xml:space="preserve">$700 million from Asian OEMs outside China</w:t>
      </w:r>
      <w:r>
        <w:t xml:space="preserve">.</w:t>
      </w:r>
    </w:p>
    <w:p>
      <w:pPr>
        <w:pStyle w:val="FirstParagraph"/>
      </w:pPr>
      <w:r>
        <w:t xml:space="preserve">Management continues to target more than</w:t>
      </w:r>
      <w:r>
        <w:t xml:space="preserve"> </w:t>
      </w:r>
      <w:r>
        <w:rPr>
          <w:b/>
          <w:bCs/>
        </w:rPr>
        <w:t xml:space="preserve">$20 billion of 2026 bookings</w:t>
      </w:r>
      <w:r>
        <w:t xml:space="preserve">. Non-automotive revenue grew 9% in Q1, including 13% growth within Intelligent Systems and 6% within Engineered Components. (</w:t>
      </w:r>
      <w:hyperlink r:id="rId12">
        <w:r>
          <w:rPr>
            <w:rStyle w:val="Hyperlink"/>
          </w:rPr>
          <w:t xml:space="preserve">s21.q4cdn.com</w:t>
        </w:r>
      </w:hyperlink>
      <w:r>
        <w:t xml:space="preserve">)</w:t>
      </w:r>
    </w:p>
    <w:p>
      <w:pPr>
        <w:pStyle w:val="BodyText"/>
      </w:pPr>
      <w:r>
        <w:t xml:space="preserve">The strategic argument is compelling: Aptiv is applying its sensors, compute, embedded software and interconnect products to aerospace and defense, industrial robotics, drones, telecom/datacom and energy storage. But bookings are lifetime program values, not near-term revenue.</w:t>
      </w:r>
    </w:p>
    <w:p>
      <w:pPr>
        <w:pStyle w:val="BodyText"/>
      </w:pPr>
      <w:r>
        <w:t xml:space="preserve">Questions for the call should include:</w:t>
      </w:r>
    </w:p>
    <w:p>
      <w:pPr>
        <w:pStyle w:val="Compact"/>
        <w:numPr>
          <w:ilvl w:val="0"/>
          <w:numId w:val="1009"/>
        </w:numPr>
      </w:pPr>
      <w:r>
        <w:t xml:space="preserve">Is the $20 billion target unchanged?</w:t>
      </w:r>
    </w:p>
    <w:p>
      <w:pPr>
        <w:pStyle w:val="Compact"/>
        <w:numPr>
          <w:ilvl w:val="0"/>
          <w:numId w:val="1009"/>
        </w:numPr>
      </w:pPr>
      <w:r>
        <w:t xml:space="preserve">What proportion of Q2 awards came from non-automotive markets?</w:t>
      </w:r>
    </w:p>
    <w:p>
      <w:pPr>
        <w:pStyle w:val="Compact"/>
        <w:numPr>
          <w:ilvl w:val="0"/>
          <w:numId w:val="1009"/>
        </w:numPr>
      </w:pPr>
      <w:r>
        <w:t xml:space="preserve">When do recent robotics, defense, data-center and energy-storage awards begin contributing?</w:t>
      </w:r>
    </w:p>
    <w:p>
      <w:pPr>
        <w:pStyle w:val="Compact"/>
        <w:numPr>
          <w:ilvl w:val="0"/>
          <w:numId w:val="1009"/>
        </w:numPr>
      </w:pPr>
      <w:r>
        <w:t xml:space="preserve">Is diversification producing better margins, or is Aptiv still in an investment phase?</w:t>
      </w:r>
    </w:p>
    <w:p>
      <w:pPr>
        <w:pStyle w:val="Compact"/>
        <w:numPr>
          <w:ilvl w:val="0"/>
          <w:numId w:val="1009"/>
        </w:numPr>
      </w:pPr>
      <w:r>
        <w:t xml:space="preserve">Does management expect bolt-on M&amp;A during 2026?</w:t>
      </w:r>
    </w:p>
    <w:p>
      <w:r>
        <w:pict>
          <v:rect style="width:0;height:1.5pt" o:hralign="center" o:hrstd="t" o:hr="t"/>
        </w:pict>
      </w:r>
    </w:p>
    <w:bookmarkEnd w:id="19"/>
    <w:bookmarkEnd w:id="20"/>
    <w:bookmarkStart w:id="24" w:name="other-items-to-watch"/>
    <w:p>
      <w:pPr>
        <w:pStyle w:val="Heading2"/>
      </w:pPr>
      <w:r>
        <w:t xml:space="preserve">Other items to watch</w:t>
      </w:r>
    </w:p>
    <w:bookmarkStart w:id="21" w:name="stranded-cost-removal"/>
    <w:p>
      <w:pPr>
        <w:pStyle w:val="Heading3"/>
      </w:pPr>
      <w:r>
        <w:t xml:space="preserve">Stranded-cost removal</w:t>
      </w:r>
    </w:p>
    <w:p>
      <w:pPr>
        <w:pStyle w:val="FirstParagraph"/>
      </w:pPr>
      <w:r>
        <w:t xml:space="preserve">Aptiv began life after the spin with approximately</w:t>
      </w:r>
      <w:r>
        <w:t xml:space="preserve"> </w:t>
      </w:r>
      <w:r>
        <w:rPr>
          <w:b/>
          <w:bCs/>
        </w:rPr>
        <w:t xml:space="preserve">$70 million of annualized stranded costs</w:t>
      </w:r>
      <w:r>
        <w:t xml:space="preserve">, which management intends to eliminate by the end of 2027. Investors should look for an initial progress update, including whether cost removal will be linear or back-end weighted.</w:t>
      </w:r>
    </w:p>
    <w:bookmarkEnd w:id="21"/>
    <w:bookmarkStart w:id="22" w:name="capital-allocation"/>
    <w:p>
      <w:pPr>
        <w:pStyle w:val="Heading3"/>
      </w:pPr>
      <w:r>
        <w:t xml:space="preserve">Capital allocation</w:t>
      </w:r>
    </w:p>
    <w:p>
      <w:pPr>
        <w:pStyle w:val="FirstParagraph"/>
      </w:pPr>
      <w:r>
        <w:t xml:space="preserve">Pro forma for the separation, Aptiv ended Q1 at roughly</w:t>
      </w:r>
      <w:r>
        <w:t xml:space="preserve"> </w:t>
      </w:r>
      <w:r>
        <w:rPr>
          <w:b/>
          <w:bCs/>
        </w:rPr>
        <w:t xml:space="preserve">2.3× gross leverage and 1.9× net leverage</w:t>
      </w:r>
      <w:r>
        <w:t xml:space="preserve">. It repurchased approximately $75 million of stock in Q1 and had roughly $2 billion remaining under its authorization. Management’s EPS guidance did not assume a meaningful incremental benefit from future repurchases. (</w:t>
      </w:r>
      <w:hyperlink r:id="rId12">
        <w:r>
          <w:rPr>
            <w:rStyle w:val="Hyperlink"/>
          </w:rPr>
          <w:t xml:space="preserve">s21.q4cdn.com</w:t>
        </w:r>
      </w:hyperlink>
      <w:r>
        <w:t xml:space="preserve">)</w:t>
      </w:r>
    </w:p>
    <w:p>
      <w:pPr>
        <w:pStyle w:val="BodyText"/>
      </w:pPr>
      <w:r>
        <w:t xml:space="preserve">That creates potential EPS upside, but the priority order matters. Management continues to discuss bolt-on acquisitions alongside buybacks, so investors should assess whether any contemplated M&amp;A improves the portfolio without delaying deleveraging or free-cash-flow returns.</w:t>
      </w:r>
    </w:p>
    <w:bookmarkEnd w:id="22"/>
    <w:bookmarkStart w:id="23" w:name="reporting-comparability"/>
    <w:p>
      <w:pPr>
        <w:pStyle w:val="Heading3"/>
      </w:pPr>
      <w:r>
        <w:t xml:space="preserve">Reporting comparability</w:t>
      </w:r>
    </w:p>
    <w:p>
      <w:pPr>
        <w:pStyle w:val="FirstParagraph"/>
      </w:pPr>
      <w:r>
        <w:t xml:space="preserve">Beginning with Q2, Versigent’s historical results will be classified as discontinued operations. Investors should rely on recast continuing-operations figures and Aptiv’s pro forma New Aptiv metrics rather than comparing Q2 directly with previously reported consolidated quarters. (</w:t>
      </w:r>
      <w:hyperlink r:id="rId11">
        <w:r>
          <w:rPr>
            <w:rStyle w:val="Hyperlink"/>
          </w:rPr>
          <w:t xml:space="preserve">ir.aptiv.com</w:t>
        </w:r>
      </w:hyperlink>
      <w:r>
        <w:t xml:space="preserve">)</w:t>
      </w:r>
    </w:p>
    <w:p>
      <w:r>
        <w:pict>
          <v:rect style="width:0;height:1.5pt" o:hralign="center" o:hrstd="t" o:hr="t"/>
        </w:pict>
      </w:r>
    </w:p>
    <w:bookmarkEnd w:id="23"/>
    <w:bookmarkEnd w:id="24"/>
    <w:bookmarkStart w:id="28" w:name="scenario-framework"/>
    <w:p>
      <w:pPr>
        <w:pStyle w:val="Heading2"/>
      </w:pPr>
      <w:r>
        <w:t xml:space="preserve">Scenario framework</w:t>
      </w:r>
    </w:p>
    <w:bookmarkStart w:id="25" w:name="bull-case"/>
    <w:p>
      <w:pPr>
        <w:pStyle w:val="Heading3"/>
      </w:pPr>
      <w:r>
        <w:t xml:space="preserve">Bull case</w:t>
      </w:r>
    </w:p>
    <w:p>
      <w:pPr>
        <w:pStyle w:val="Compact"/>
        <w:numPr>
          <w:ilvl w:val="0"/>
          <w:numId w:val="1010"/>
        </w:numPr>
      </w:pPr>
      <w:r>
        <w:t xml:space="preserve">Revenue and EPS finish near or above the upper end of guidance;</w:t>
      </w:r>
    </w:p>
    <w:p>
      <w:pPr>
        <w:pStyle w:val="Compact"/>
        <w:numPr>
          <w:ilvl w:val="0"/>
          <w:numId w:val="1010"/>
        </w:numPr>
      </w:pPr>
      <w:r>
        <w:t xml:space="preserve">EBITDA margin is at least 18%;</w:t>
      </w:r>
    </w:p>
    <w:p>
      <w:pPr>
        <w:pStyle w:val="Compact"/>
        <w:numPr>
          <w:ilvl w:val="0"/>
          <w:numId w:val="1010"/>
        </w:numPr>
      </w:pPr>
      <w:r>
        <w:t xml:space="preserve">Full-year guidance is maintained or raised;</w:t>
      </w:r>
    </w:p>
    <w:p>
      <w:pPr>
        <w:pStyle w:val="Compact"/>
        <w:numPr>
          <w:ilvl w:val="0"/>
          <w:numId w:val="1010"/>
        </w:numPr>
      </w:pPr>
      <w:r>
        <w:t xml:space="preserve">China turns positive and launch timing remains intact;</w:t>
      </w:r>
    </w:p>
    <w:p>
      <w:pPr>
        <w:pStyle w:val="Compact"/>
        <w:numPr>
          <w:ilvl w:val="0"/>
          <w:numId w:val="1010"/>
        </w:numPr>
      </w:pPr>
      <w:r>
        <w:t xml:space="preserve">Commodity recoveries are beginning to appear;</w:t>
      </w:r>
    </w:p>
    <w:p>
      <w:pPr>
        <w:pStyle w:val="Compact"/>
        <w:numPr>
          <w:ilvl w:val="0"/>
          <w:numId w:val="1010"/>
        </w:numPr>
      </w:pPr>
      <w:r>
        <w:t xml:space="preserve">Software and non-automotive revenue remain strong;</w:t>
      </w:r>
    </w:p>
    <w:p>
      <w:pPr>
        <w:pStyle w:val="Compact"/>
        <w:numPr>
          <w:ilvl w:val="0"/>
          <w:numId w:val="1010"/>
        </w:numPr>
      </w:pPr>
      <w:r>
        <w:t xml:space="preserve">Free-cash-flow guidance is reiterated with improved confidence; and</w:t>
      </w:r>
    </w:p>
    <w:p>
      <w:pPr>
        <w:pStyle w:val="Compact"/>
        <w:numPr>
          <w:ilvl w:val="0"/>
          <w:numId w:val="1010"/>
        </w:numPr>
      </w:pPr>
      <w:r>
        <w:t xml:space="preserve">Management provides evidence that stranded costs are coming out faster than planned.</w:t>
      </w:r>
    </w:p>
    <w:bookmarkEnd w:id="25"/>
    <w:bookmarkStart w:id="26" w:name="base-case"/>
    <w:p>
      <w:pPr>
        <w:pStyle w:val="Heading3"/>
      </w:pPr>
      <w:r>
        <w:t xml:space="preserve">Base case</w:t>
      </w:r>
    </w:p>
    <w:p>
      <w:pPr>
        <w:pStyle w:val="Compact"/>
        <w:numPr>
          <w:ilvl w:val="0"/>
          <w:numId w:val="1011"/>
        </w:numPr>
      </w:pPr>
      <w:r>
        <w:t xml:space="preserve">Revenue around $3.3 billion;</w:t>
      </w:r>
    </w:p>
    <w:p>
      <w:pPr>
        <w:pStyle w:val="Compact"/>
        <w:numPr>
          <w:ilvl w:val="0"/>
          <w:numId w:val="1011"/>
        </w:numPr>
      </w:pPr>
      <w:r>
        <w:t xml:space="preserve">Adjusted EPS around</w:t>
      </w:r>
      <w:r>
        <w:t xml:space="preserve"> </w:t>
      </w:r>
      <m:oMath>
        <m:r>
          <m:t>1.40</m:t>
        </m:r>
        <m:r>
          <m:rPr>
            <m:sty m:val="p"/>
          </m:rPr>
          <m:t>–</m:t>
        </m:r>
      </m:oMath>
      <w:r>
        <w:t xml:space="preserve">1.45;</w:t>
      </w:r>
    </w:p>
    <w:p>
      <w:pPr>
        <w:pStyle w:val="Compact"/>
        <w:numPr>
          <w:ilvl w:val="0"/>
          <w:numId w:val="1011"/>
        </w:numPr>
      </w:pPr>
      <w:r>
        <w:t xml:space="preserve">Margin near the 17.6% midpoint;</w:t>
      </w:r>
    </w:p>
    <w:p>
      <w:pPr>
        <w:pStyle w:val="Compact"/>
        <w:numPr>
          <w:ilvl w:val="0"/>
          <w:numId w:val="1011"/>
        </w:numPr>
      </w:pPr>
      <w:r>
        <w:t xml:space="preserve">Full-year guidance maintained;</w:t>
      </w:r>
    </w:p>
    <w:p>
      <w:pPr>
        <w:pStyle w:val="Compact"/>
        <w:numPr>
          <w:ilvl w:val="0"/>
          <w:numId w:val="1011"/>
        </w:numPr>
      </w:pPr>
      <w:r>
        <w:t xml:space="preserve">Mixed segment trends, but no material launch delays;</w:t>
      </w:r>
    </w:p>
    <w:p>
      <w:pPr>
        <w:pStyle w:val="Compact"/>
        <w:numPr>
          <w:ilvl w:val="0"/>
          <w:numId w:val="1011"/>
        </w:numPr>
      </w:pPr>
      <w:r>
        <w:t xml:space="preserve">Continued confidence in a margin-heavy second half.</w:t>
      </w:r>
    </w:p>
    <w:p>
      <w:pPr>
        <w:pStyle w:val="FirstParagraph"/>
      </w:pPr>
      <w:r>
        <w:t xml:space="preserve">This would represent acceptable execution, although investors may still question how much of the second-half improvement depends on timing-sensitive recoveries.</w:t>
      </w:r>
    </w:p>
    <w:bookmarkEnd w:id="26"/>
    <w:bookmarkStart w:id="27" w:name="bear-case"/>
    <w:p>
      <w:pPr>
        <w:pStyle w:val="Heading3"/>
      </w:pPr>
      <w:r>
        <w:t xml:space="preserve">Bear case</w:t>
      </w:r>
    </w:p>
    <w:p>
      <w:pPr>
        <w:pStyle w:val="Compact"/>
        <w:numPr>
          <w:ilvl w:val="0"/>
          <w:numId w:val="1012"/>
        </w:numPr>
      </w:pPr>
      <w:r>
        <w:t xml:space="preserve">Revenue falls toward or below $3.2 billion;</w:t>
      </w:r>
    </w:p>
    <w:p>
      <w:pPr>
        <w:pStyle w:val="Compact"/>
        <w:numPr>
          <w:ilvl w:val="0"/>
          <w:numId w:val="1012"/>
        </w:numPr>
      </w:pPr>
      <w:r>
        <w:t xml:space="preserve">Intelligent Systems remains negative organically;</w:t>
      </w:r>
    </w:p>
    <w:p>
      <w:pPr>
        <w:pStyle w:val="Compact"/>
        <w:numPr>
          <w:ilvl w:val="0"/>
          <w:numId w:val="1012"/>
        </w:numPr>
      </w:pPr>
      <w:r>
        <w:t xml:space="preserve">EBITDA margin misses despite revenue near plan;</w:t>
      </w:r>
    </w:p>
    <w:p>
      <w:pPr>
        <w:pStyle w:val="Compact"/>
        <w:numPr>
          <w:ilvl w:val="0"/>
          <w:numId w:val="1012"/>
        </w:numPr>
      </w:pPr>
      <w:r>
        <w:t xml:space="preserve">Commodity inflation or program delays force a guidance reduction;</w:t>
      </w:r>
    </w:p>
    <w:p>
      <w:pPr>
        <w:pStyle w:val="Compact"/>
        <w:numPr>
          <w:ilvl w:val="0"/>
          <w:numId w:val="1012"/>
        </w:numPr>
      </w:pPr>
      <w:r>
        <w:t xml:space="preserve">China’s recovery is deferred;</w:t>
      </w:r>
    </w:p>
    <w:p>
      <w:pPr>
        <w:pStyle w:val="Compact"/>
        <w:numPr>
          <w:ilvl w:val="0"/>
          <w:numId w:val="1012"/>
        </w:numPr>
      </w:pPr>
      <w:r>
        <w:t xml:space="preserve">The full-year free-cash-flow range is lowered; or</w:t>
      </w:r>
    </w:p>
    <w:p>
      <w:pPr>
        <w:pStyle w:val="Compact"/>
        <w:numPr>
          <w:ilvl w:val="0"/>
          <w:numId w:val="1012"/>
        </w:numPr>
      </w:pPr>
      <w:r>
        <w:t xml:space="preserve">Management becomes less confident in the implied second-half margin of roughly 19.5%.</w:t>
      </w:r>
    </w:p>
    <w:p>
      <w:r>
        <w:pict>
          <v:rect style="width:0;height:1.5pt" o:hralign="center" o:hrstd="t" o:hr="t"/>
        </w:pict>
      </w:r>
    </w:p>
    <w:bookmarkEnd w:id="27"/>
    <w:bookmarkEnd w:id="28"/>
    <w:bookmarkStart w:id="29" w:name="bottom-line"/>
    <w:p>
      <w:pPr>
        <w:pStyle w:val="Heading2"/>
      </w:pPr>
      <w:r>
        <w:t xml:space="preserve">Bottom line</w:t>
      </w:r>
    </w:p>
    <w:p>
      <w:pPr>
        <w:pStyle w:val="FirstParagraph"/>
      </w:pPr>
      <w:r>
        <w:rPr>
          <w:b/>
          <w:bCs/>
        </w:rPr>
        <w:t xml:space="preserve">The quarter itself is not the main hurdle; credibility of the second-half outlook is.</w:t>
      </w:r>
    </w:p>
    <w:p>
      <w:pPr>
        <w:pStyle w:val="BodyText"/>
      </w:pPr>
      <w:r>
        <w:t xml:space="preserve">Aptiv can probably absorb a modest revenue or EPS miss if it demonstrates that customer disruptions are ending, Chinese program growth is returning and commodity recoveries support the full-year margin. Conversely, a small headline beat would have limited value if management trims the 18.6% full-year EBITDA-margin target or becomes less specific about the back-half ramp.</w:t>
      </w:r>
    </w:p>
    <w:p>
      <w:pPr>
        <w:pStyle w:val="BodyText"/>
      </w:pPr>
      <w:r>
        <w:t xml:space="preserve">The cleanest positive report would be</w:t>
      </w:r>
      <w:r>
        <w:t xml:space="preserve"> </w:t>
      </w:r>
      <w:r>
        <w:rPr>
          <w:b/>
          <w:bCs/>
        </w:rPr>
        <w:t xml:space="preserve">Q2 results at least modestly above midpoint, unchanged or higher full-year guidance, and concrete evidence that Intelligent Systems growth and commodity recovery are inflecting.</w:t>
      </w:r>
    </w:p>
    <w:bookmarkEnd w:id="29"/>
    <w:bookmarkEnd w:id="3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1" Target="https://ir.aptiv.com/news/news-details/2026/Aptiv-Reports-First-Quarter-2026-Financial-Results/default.aspx?utm_source=openai" TargetMode="External" /><Relationship Type="http://schemas.openxmlformats.org/officeDocument/2006/relationships/hyperlink" Id="rId9" Target="https://ir.aptiv.com/news/news-details/2026/Aptiv-to-Release-Second-Quarter-2026-Financial-Results-on-August-4/default.aspx?utm_source=openai" TargetMode="External" /><Relationship Type="http://schemas.openxmlformats.org/officeDocument/2006/relationships/hyperlink" Id="rId12" Target="https://s21.q4cdn.com/440699111/files/doc_earnings/2026/q1/presentation/Aptiv-Q1-2026-Earnings-Presentation.pdf" TargetMode="External" /></Relationships>
</file>

<file path=word/_rels/footnotes.xml.rels><?xml version="1.0" encoding="UTF-8"?><Relationships xmlns="http://schemas.openxmlformats.org/package/2006/relationships"><Relationship Type="http://schemas.openxmlformats.org/officeDocument/2006/relationships/hyperlink" Id="rId11" Target="https://ir.aptiv.com/news/news-details/2026/Aptiv-Reports-First-Quarter-2026-Financial-Results/default.aspx?utm_source=openai" TargetMode="External" /><Relationship Type="http://schemas.openxmlformats.org/officeDocument/2006/relationships/hyperlink" Id="rId9" Target="https://ir.aptiv.com/news/news-details/2026/Aptiv-to-Release-Second-Quarter-2026-Financial-Results-on-August-4/default.aspx?utm_source=openai" TargetMode="External" /><Relationship Type="http://schemas.openxmlformats.org/officeDocument/2006/relationships/hyperlink" Id="rId12" Target="https://s21.q4cdn.com/440699111/files/doc_earnings/2026/q1/presentation/Aptiv-Q1-2026-Earnings-Presentation.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2026-08-04T00:22:36Z</dcterms:created>
  <dcterms:modified xsi:type="dcterms:W3CDTF">2026-08-04T00:22:36Z</dcterms:modified>
</cp:coreProperties>
</file>

<file path=docProps/custom.xml><?xml version="1.0" encoding="utf-8"?>
<Properties xmlns="http://schemas.openxmlformats.org/officeDocument/2006/custom-properties" xmlns:vt="http://schemas.openxmlformats.org/officeDocument/2006/docPropsVTypes"/>
</file>