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aptv-earnings-predictions--2026-08-04"/>
    <w:p>
      <w:pPr>
        <w:pStyle w:val="Heading1"/>
      </w:pPr>
      <w:r>
        <w:t xml:space="preserve">APTV Earnings Predictions — 2026-08-04</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APTV</w:t>
            </w:r>
          </w:p>
        </w:tc>
        <w:tc>
          <w:tcPr/>
          <w:p>
            <w:pPr>
              <w:pStyle w:val="Compact"/>
            </w:pPr>
            <w:r>
              <w:t xml:space="preserve">Report</w:t>
            </w:r>
          </w:p>
        </w:tc>
        <w:tc>
          <w:tcPr/>
          <w:p>
            <w:pPr>
              <w:pStyle w:val="Compact"/>
            </w:pPr>
            <w:r>
              <w:t xml:space="preserve">2Q26 net sales</w:t>
            </w:r>
          </w:p>
        </w:tc>
        <w:tc>
          <w:tcPr/>
          <w:p>
            <w:pPr>
              <w:pStyle w:val="Compact"/>
            </w:pPr>
            <w:r>
              <w:t xml:space="preserve">IN-LINE</w:t>
            </w:r>
          </w:p>
        </w:tc>
        <w:tc>
          <w:tcPr/>
          <w:p>
            <w:pPr>
              <w:pStyle w:val="Compact"/>
            </w:pPr>
            <w:r>
              <w:t xml:space="preserve">pred ~$3.32B vs. cons $3.30B</w:t>
            </w:r>
          </w:p>
        </w:tc>
        <w:tc>
          <w:tcPr/>
          <w:p>
            <w:pPr>
              <w:pStyle w:val="Compact"/>
            </w:pPr>
            <w:r>
              <w:t xml:space="preserve">MEDIUM</w:t>
            </w:r>
          </w:p>
        </w:tc>
      </w:tr>
      <w:tr>
        <w:tc>
          <w:tcPr/>
          <w:p>
            <w:pPr>
              <w:pStyle w:val="Compact"/>
            </w:pPr>
            <w:r>
              <w:t xml:space="preserve">APTV</w:t>
            </w:r>
          </w:p>
        </w:tc>
        <w:tc>
          <w:tcPr/>
          <w:p>
            <w:pPr>
              <w:pStyle w:val="Compact"/>
            </w:pPr>
            <w:r>
              <w:t xml:space="preserve">Report</w:t>
            </w:r>
          </w:p>
        </w:tc>
        <w:tc>
          <w:tcPr/>
          <w:p>
            <w:pPr>
              <w:pStyle w:val="Compact"/>
            </w:pPr>
            <w:r>
              <w:t xml:space="preserve">2Q26 adjusted EBITDA</w:t>
            </w:r>
          </w:p>
        </w:tc>
        <w:tc>
          <w:tcPr/>
          <w:p>
            <w:pPr>
              <w:pStyle w:val="Compact"/>
            </w:pPr>
            <w:r>
              <w:t xml:space="preserve">BEAT</w:t>
            </w:r>
          </w:p>
        </w:tc>
        <w:tc>
          <w:tcPr/>
          <w:p>
            <w:pPr>
              <w:pStyle w:val="Compact"/>
            </w:pPr>
            <w:r>
              <w:t xml:space="preserve">pred ~$588M vs. cons $580M</w:t>
            </w:r>
          </w:p>
        </w:tc>
        <w:tc>
          <w:tcPr/>
          <w:p>
            <w:pPr>
              <w:pStyle w:val="Compact"/>
            </w:pPr>
            <w:r>
              <w:t xml:space="preserve">MEDIUM</w:t>
            </w:r>
          </w:p>
        </w:tc>
      </w:tr>
      <w:tr>
        <w:tc>
          <w:tcPr/>
          <w:p>
            <w:pPr>
              <w:pStyle w:val="Compact"/>
            </w:pPr>
            <w:r>
              <w:t xml:space="preserve">APTV</w:t>
            </w:r>
          </w:p>
        </w:tc>
        <w:tc>
          <w:tcPr/>
          <w:p>
            <w:pPr>
              <w:pStyle w:val="Compact"/>
            </w:pPr>
            <w:r>
              <w:t xml:space="preserve">Report</w:t>
            </w:r>
          </w:p>
        </w:tc>
        <w:tc>
          <w:tcPr/>
          <w:p>
            <w:pPr>
              <w:pStyle w:val="Compact"/>
            </w:pPr>
            <w:r>
              <w:t xml:space="preserve">2Q26 adjusted EPS</w:t>
            </w:r>
          </w:p>
        </w:tc>
        <w:tc>
          <w:tcPr/>
          <w:p>
            <w:pPr>
              <w:pStyle w:val="Compact"/>
            </w:pPr>
            <w:r>
              <w:t xml:space="preserve">BEAT</w:t>
            </w:r>
          </w:p>
        </w:tc>
        <w:tc>
          <w:tcPr/>
          <w:p>
            <w:pPr>
              <w:pStyle w:val="Compact"/>
            </w:pPr>
            <w:r>
              <w:t xml:space="preserve">pred ~$1.44 vs. cons $1.40</w:t>
            </w:r>
          </w:p>
        </w:tc>
        <w:tc>
          <w:tcPr/>
          <w:p>
            <w:pPr>
              <w:pStyle w:val="Compact"/>
            </w:pPr>
            <w:r>
              <w:t xml:space="preserve">MEDIUM</w:t>
            </w:r>
          </w:p>
        </w:tc>
      </w:tr>
      <w:tr>
        <w:tc>
          <w:tcPr/>
          <w:p>
            <w:pPr>
              <w:pStyle w:val="Compact"/>
            </w:pPr>
            <w:r>
              <w:t xml:space="preserve">APTV</w:t>
            </w:r>
          </w:p>
        </w:tc>
        <w:tc>
          <w:tcPr/>
          <w:p>
            <w:pPr>
              <w:pStyle w:val="Compact"/>
            </w:pPr>
            <w:r>
              <w:t xml:space="preserve">Guide</w:t>
            </w:r>
          </w:p>
        </w:tc>
        <w:tc>
          <w:tcPr/>
          <w:p>
            <w:pPr>
              <w:pStyle w:val="Compact"/>
            </w:pPr>
            <w:r>
              <w:t xml:space="preserve">FY26 net sales guidance</w:t>
            </w:r>
          </w:p>
        </w:tc>
        <w:tc>
          <w:tcPr/>
          <w:p>
            <w:pPr>
              <w:pStyle w:val="Compact"/>
            </w:pPr>
            <w:r>
              <w:t xml:space="preserve">UNCHANGED</w:t>
            </w:r>
          </w:p>
        </w:tc>
        <w:tc>
          <w:tcPr/>
          <w:p>
            <w:pPr>
              <w:pStyle w:val="Compact"/>
            </w:pPr>
            <w:r>
              <w:t xml:space="preserve">guide ~$13.0B vs. cons $13.0B (FY26)</w:t>
            </w:r>
          </w:p>
        </w:tc>
        <w:tc>
          <w:tcPr/>
          <w:p>
            <w:pPr>
              <w:pStyle w:val="Compact"/>
            </w:pPr>
            <w:r>
              <w:t xml:space="preserve">HIGH</w:t>
            </w:r>
          </w:p>
        </w:tc>
      </w:tr>
      <w:tr>
        <w:tc>
          <w:tcPr/>
          <w:p>
            <w:pPr>
              <w:pStyle w:val="Compact"/>
            </w:pPr>
            <w:r>
              <w:t xml:space="preserve">APTV</w:t>
            </w:r>
          </w:p>
        </w:tc>
        <w:tc>
          <w:tcPr/>
          <w:p>
            <w:pPr>
              <w:pStyle w:val="Compact"/>
            </w:pPr>
            <w:r>
              <w:t xml:space="preserve">Guide</w:t>
            </w:r>
          </w:p>
        </w:tc>
        <w:tc>
          <w:tcPr/>
          <w:p>
            <w:pPr>
              <w:pStyle w:val="Compact"/>
            </w:pPr>
            <w:r>
              <w:t xml:space="preserve">FY26 adjusted EBITDA guidance</w:t>
            </w:r>
          </w:p>
        </w:tc>
        <w:tc>
          <w:tcPr/>
          <w:p>
            <w:pPr>
              <w:pStyle w:val="Compact"/>
            </w:pPr>
            <w:r>
              <w:t xml:space="preserve">UNCHANGED</w:t>
            </w:r>
          </w:p>
        </w:tc>
        <w:tc>
          <w:tcPr/>
          <w:p>
            <w:pPr>
              <w:pStyle w:val="Compact"/>
            </w:pPr>
            <w:r>
              <w:t xml:space="preserve">guide ~$2.42B vs. cons $2.42B (FY26)</w:t>
            </w:r>
          </w:p>
        </w:tc>
        <w:tc>
          <w:tcPr/>
          <w:p>
            <w:pPr>
              <w:pStyle w:val="Compact"/>
            </w:pPr>
            <w:r>
              <w:t xml:space="preserve">MEDIUM</w:t>
            </w:r>
          </w:p>
        </w:tc>
      </w:tr>
      <w:tr>
        <w:tc>
          <w:tcPr/>
          <w:p>
            <w:pPr>
              <w:pStyle w:val="Compact"/>
            </w:pPr>
            <w:r>
              <w:t xml:space="preserve">APTV</w:t>
            </w:r>
          </w:p>
        </w:tc>
        <w:tc>
          <w:tcPr/>
          <w:p>
            <w:pPr>
              <w:pStyle w:val="Compact"/>
            </w:pPr>
            <w:r>
              <w:t xml:space="preserve">Guide</w:t>
            </w:r>
          </w:p>
        </w:tc>
        <w:tc>
          <w:tcPr/>
          <w:p>
            <w:pPr>
              <w:pStyle w:val="Compact"/>
            </w:pPr>
            <w:r>
              <w:t xml:space="preserve">FY26 adjusted EPS guidance</w:t>
            </w:r>
          </w:p>
        </w:tc>
        <w:tc>
          <w:tcPr/>
          <w:p>
            <w:pPr>
              <w:pStyle w:val="Compact"/>
            </w:pPr>
            <w:r>
              <w:t xml:space="preserve">UNCHANGED</w:t>
            </w:r>
          </w:p>
        </w:tc>
        <w:tc>
          <w:tcPr/>
          <w:p>
            <w:pPr>
              <w:pStyle w:val="Compact"/>
            </w:pPr>
            <w:r>
              <w:t xml:space="preserve">guide ~$5.90 vs. cons $5.90 (FY26)</w:t>
            </w:r>
          </w:p>
        </w:tc>
        <w:tc>
          <w:tcPr/>
          <w:p>
            <w:pPr>
              <w:pStyle w:val="Compact"/>
            </w:pPr>
            <w:r>
              <w:t xml:space="preserve">MEDIUM</w:t>
            </w:r>
          </w:p>
        </w:tc>
      </w:tr>
      <w:tr>
        <w:tc>
          <w:tcPr/>
          <w:p>
            <w:pPr>
              <w:pStyle w:val="Compact"/>
            </w:pPr>
            <w:r>
              <w:t xml:space="preserve">APTV</w:t>
            </w:r>
          </w:p>
        </w:tc>
        <w:tc>
          <w:tcPr/>
          <w:p>
            <w:pPr>
              <w:pStyle w:val="Compact"/>
            </w:pPr>
            <w:r>
              <w:t xml:space="preserve">Guide</w:t>
            </w:r>
          </w:p>
        </w:tc>
        <w:tc>
          <w:tcPr/>
          <w:p>
            <w:pPr>
              <w:pStyle w:val="Compact"/>
            </w:pPr>
            <w:r>
              <w:t xml:space="preserve">FY26 free-cash-flow guidance</w:t>
            </w:r>
          </w:p>
        </w:tc>
        <w:tc>
          <w:tcPr/>
          <w:p>
            <w:pPr>
              <w:pStyle w:val="Compact"/>
            </w:pPr>
            <w:r>
              <w:t xml:space="preserve">UNCHANGED</w:t>
            </w:r>
          </w:p>
        </w:tc>
        <w:tc>
          <w:tcPr/>
          <w:p>
            <w:pPr>
              <w:pStyle w:val="Compact"/>
            </w:pPr>
            <w:r>
              <w:t xml:space="preserve">guide ~$750M vs. cons $750M (FY26)</w:t>
            </w:r>
          </w:p>
        </w:tc>
        <w:tc>
          <w:tcPr/>
          <w:p>
            <w:pPr>
              <w:pStyle w:val="Compact"/>
            </w:pPr>
            <w:r>
              <w:t xml:space="preserve">MEDIUM</w:t>
            </w:r>
          </w:p>
        </w:tc>
      </w:tr>
      <w:tr>
        <w:tc>
          <w:tcPr/>
          <w:p>
            <w:pPr>
              <w:pStyle w:val="Compact"/>
            </w:pPr>
            <w:r>
              <w:t xml:space="preserve">APTV</w:t>
            </w:r>
          </w:p>
        </w:tc>
        <w:tc>
          <w:tcPr/>
          <w:p>
            <w:pPr>
              <w:pStyle w:val="Compact"/>
            </w:pPr>
            <w:r>
              <w:t xml:space="preserve">Guide</w:t>
            </w:r>
          </w:p>
        </w:tc>
        <w:tc>
          <w:tcPr/>
          <w:p>
            <w:pPr>
              <w:pStyle w:val="Compact"/>
            </w:pPr>
            <w:r>
              <w:t xml:space="preserve">2H26 organic-sales-growth commentary</w:t>
            </w:r>
          </w:p>
        </w:tc>
        <w:tc>
          <w:tcPr/>
          <w:p>
            <w:pPr>
              <w:pStyle w:val="Compact"/>
            </w:pPr>
            <w:r>
              <w:t xml:space="preserve">UNCHANGED</w:t>
            </w:r>
          </w:p>
        </w:tc>
        <w:tc>
          <w:tcPr/>
          <w:p>
            <w:pPr>
              <w:pStyle w:val="Compact"/>
            </w:pPr>
            <w:r>
              <w:t xml:space="preserve">guide ~6.0% vs. cons 6.0% (2H26)</w:t>
            </w:r>
          </w:p>
        </w:tc>
        <w:tc>
          <w:tcPr/>
          <w:p>
            <w:pPr>
              <w:pStyle w:val="Compact"/>
            </w:pPr>
            <w:r>
              <w:t xml:space="preserve">MEDIUM</w:t>
            </w:r>
          </w:p>
        </w:tc>
      </w:tr>
      <w:tr>
        <w:tc>
          <w:tcPr/>
          <w:p>
            <w:pPr>
              <w:pStyle w:val="Compact"/>
            </w:pPr>
            <w:r>
              <w:t xml:space="preserve">APTV</w:t>
            </w:r>
          </w:p>
        </w:tc>
        <w:tc>
          <w:tcPr/>
          <w:p>
            <w:pPr>
              <w:pStyle w:val="Compact"/>
            </w:pPr>
            <w:r>
              <w:t xml:space="preserve">Return</w:t>
            </w:r>
          </w:p>
        </w:tc>
        <w:tc>
          <w:tcPr/>
          <w:p>
            <w:pPr>
              <w:pStyle w:val="Compact"/>
            </w:pPr>
            <w:r>
              <w:t xml:space="preserve">Day-1 residual (stock − beta × S&amp;P 500)</w:t>
            </w:r>
          </w:p>
        </w:tc>
        <w:tc>
          <w:tcPr/>
          <w:p>
            <w:pPr>
              <w:pStyle w:val="Compact"/>
            </w:pPr>
            <w:r>
              <w:t xml:space="preserve">+3.5%</w:t>
            </w:r>
          </w:p>
        </w:tc>
        <w:tc>
          <w:tcPr/>
          <w:p>
            <w:pPr>
              <w:pStyle w:val="Compact"/>
            </w:pPr>
            <w:r>
              <w:t xml:space="preserve">—</w:t>
            </w:r>
          </w:p>
        </w:tc>
        <w:tc>
          <w:tcPr/>
          <w:p>
            <w:pPr>
              <w:pStyle w:val="Compact"/>
            </w:pPr>
            <w:r>
              <w:t xml:space="preserve">MEDIUM</w:t>
            </w:r>
          </w:p>
        </w:tc>
      </w:tr>
      <w:tr>
        <w:tc>
          <w:tcPr/>
          <w:p>
            <w:pPr>
              <w:pStyle w:val="Compact"/>
            </w:pPr>
            <w:r>
              <w:t xml:space="preserve">APTV</w:t>
            </w:r>
          </w:p>
        </w:tc>
        <w:tc>
          <w:tcPr/>
          <w:p>
            <w:pPr>
              <w:pStyle w:val="Compact"/>
            </w:pPr>
            <w:r>
              <w:t xml:space="preserve">Return</w:t>
            </w:r>
          </w:p>
        </w:tc>
        <w:tc>
          <w:tcPr/>
          <w:p>
            <w:pPr>
              <w:pStyle w:val="Compact"/>
            </w:pPr>
            <w:r>
              <w:t xml:space="preserve">5-day cumulative residual</w:t>
            </w:r>
          </w:p>
        </w:tc>
        <w:tc>
          <w:tcPr/>
          <w:p>
            <w:pPr>
              <w:pStyle w:val="Compact"/>
            </w:pPr>
            <w:r>
              <w:t xml:space="preserve">+1.0% (FADE)</w:t>
            </w:r>
          </w:p>
        </w:tc>
        <w:tc>
          <w:tcPr/>
          <w:p>
            <w:pPr>
              <w:pStyle w:val="Compact"/>
            </w:pPr>
            <w:r>
              <w:t xml:space="preserve">A modest EBITDA/EPS beat and reaffirmed FY26 math should support an initial relief move, but unchanged sales, EBITDA, EPS and FCF guidance leaves the implied 2H ramp, launch timing, commodity recovery and China/North America normalization assumptions intact. Without an out-period raise, estimate revisions should remain limited and the initial move should fade.</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2026-08-04T00:21:02Z</dcterms:created>
  <dcterms:modified xsi:type="dcterms:W3CDTF">2026-08-04T00:21:02Z</dcterms:modified>
</cp:coreProperties>
</file>

<file path=docProps/custom.xml><?xml version="1.0" encoding="utf-8"?>
<Properties xmlns="http://schemas.openxmlformats.org/officeDocument/2006/custom-properties" xmlns:vt="http://schemas.openxmlformats.org/officeDocument/2006/docPropsVTypes"/>
</file>