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1" w:name="aptiv-nyse-aptv--2q26-earnings-preview"/>
    <w:p>
      <w:pPr>
        <w:pStyle w:val="Heading1"/>
      </w:pPr>
      <w:r>
        <w:t xml:space="preserve">Aptiv (NYSE: APTV) — 2Q26 Earnings Preview</w:t>
      </w:r>
    </w:p>
    <w:p>
      <w:pPr>
        <w:pStyle w:val="BlockText"/>
      </w:pPr>
      <w:r>
        <w:rPr>
          <w:b/>
          <w:bCs/>
        </w:rPr>
        <w:t xml:space="preserve">Timing clarification:</w:t>
      </w:r>
      <w:r>
        <w:t xml:space="preserve"> </w:t>
      </w:r>
      <w:r>
        <w:t xml:space="preserve">Aptiv is scheduled to report</w:t>
      </w:r>
      <w:r>
        <w:t xml:space="preserve"> </w:t>
      </w:r>
      <w:r>
        <w:rPr>
          <w:b/>
          <w:bCs/>
        </w:rPr>
        <w:t xml:space="preserve">before the market opens on Tuesday, August 4, 2026</w:t>
      </w:r>
      <w:r>
        <w:t xml:space="preserve">, with its earnings call at</w:t>
      </w:r>
      <w:r>
        <w:t xml:space="preserve"> </w:t>
      </w:r>
      <w:r>
        <w:rPr>
          <w:b/>
          <w:bCs/>
        </w:rPr>
        <w:t xml:space="preserve">8:00 a.m. ET</w:t>
      </w:r>
      <w:r>
        <w:t xml:space="preserve">. In other words, this is a</w:t>
      </w:r>
      <w:r>
        <w:t xml:space="preserve"> </w:t>
      </w:r>
      <w:r>
        <w:rPr>
          <w:i/>
          <w:iCs/>
        </w:rPr>
        <w:t xml:space="preserve">same-day</w:t>
      </w:r>
      <w:r>
        <w:t xml:space="preserve"> </w:t>
      </w:r>
      <w:r>
        <w:t xml:space="preserve">preview rather than a report due tomorrow.</w:t>
      </w:r>
    </w:p>
    <w:bookmarkStart w:id="9" w:name="the-setup-first-quarter-as-new-aptiv"/>
    <w:p>
      <w:pPr>
        <w:pStyle w:val="Heading2"/>
      </w:pPr>
      <w:r>
        <w:t xml:space="preserve">The setup: first quarter as “New Aptiv”</w:t>
      </w:r>
    </w:p>
    <w:p>
      <w:pPr>
        <w:pStyle w:val="FirstParagraph"/>
      </w:pPr>
      <w:r>
        <w:t xml:space="preserve">This report is Aptiv’s first quarter reported after the April 1 spin-off of its Electrical Distribution Systems business into</w:t>
      </w:r>
      <w:r>
        <w:t xml:space="preserve"> </w:t>
      </w:r>
      <w:r>
        <w:rPr>
          <w:b/>
          <w:bCs/>
        </w:rPr>
        <w:t xml:space="preserve">Versigent</w:t>
      </w:r>
      <w:r>
        <w:t xml:space="preserve">. The headline comparison will therefore be less straightforward than usual: beginning in 2Q26, Versigent is treated as a discontinued operation, and Aptiv’s reported results will consist principally of</w:t>
      </w:r>
      <w:r>
        <w:t xml:space="preserve"> </w:t>
      </w:r>
      <w:r>
        <w:rPr>
          <w:b/>
          <w:bCs/>
        </w:rPr>
        <w:t xml:space="preserve">Intelligent Systems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Engineered Components</w:t>
      </w:r>
      <w:r>
        <w:t xml:space="preserve">.</w:t>
      </w:r>
    </w:p>
    <w:p>
      <w:pPr>
        <w:pStyle w:val="BodyText"/>
      </w:pPr>
      <w:r>
        <w:t xml:space="preserve">The central investor question is whether the streamlined company can prove that its higher-margin, software- and technology-heavy mix can deliver on management’s promised second-half growth and margin acceleration—despite soft vehicle production, customer-specific disruptions, and commodity inflation.</w:t>
      </w:r>
    </w:p>
    <w:p>
      <w:pPr>
        <w:pStyle w:val="BodyText"/>
      </w:pPr>
      <w:r>
        <w:t xml:space="preserve">Management’s own 2Q guide is the relevant near-term benchmark: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New Aptiv 2Q26 guidance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Range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Midpoint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3.2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t xml:space="preserve">3.4B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$3.3B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555</m:t>
              </m:r>
              <m:r>
                <m:t>M</m:t>
              </m:r>
              <m:r>
                <m:rPr>
                  <m:sty m:val="p"/>
                </m:rPr>
                <m:t>–</m:t>
              </m:r>
            </m:oMath>
            <w:r>
              <w:t xml:space="preserve">605M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$580M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EBITDA margin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17.6%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1.30</m:t>
              </m:r>
              <m:r>
                <m:rPr>
                  <m:sty m:val="p"/>
                </m:rPr>
                <m:t>–</m:t>
              </m:r>
            </m:oMath>
            <w:r>
              <w:t xml:space="preserve">1.50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$1.40</w:t>
            </w:r>
          </w:p>
        </w:tc>
      </w:tr>
    </w:tbl>
    <w:p>
      <w:pPr>
        <w:pStyle w:val="BodyText"/>
      </w:pPr>
      <w:r>
        <w:t xml:space="preserve">For the full year, Aptiv maintained guidance for</w:t>
      </w:r>
      <w:r>
        <w:t xml:space="preserve"> </w:t>
      </w:r>
      <m:oMath>
        <m:r>
          <m:t>12.8</m:t>
        </m:r>
        <m:r>
          <m:t>B</m:t>
        </m:r>
        <m:r>
          <m:rPr>
            <m:sty m:val="p"/>
          </m:rPr>
          <m:t>–</m:t>
        </m:r>
      </m:oMath>
      <w:r>
        <w:rPr>
          <w:b/>
          <w:bCs/>
        </w:rPr>
        <w:t xml:space="preserve">13.2B of sales</w:t>
      </w:r>
      <w:r>
        <w:t xml:space="preserve">,</w:t>
      </w:r>
      <w:r>
        <w:t xml:space="preserve"> </w:t>
      </w:r>
      <m:oMath>
        <m:r>
          <m:t>2.36</m:t>
        </m:r>
        <m:r>
          <m:t>B</m:t>
        </m:r>
        <m:r>
          <m:rPr>
            <m:sty m:val="p"/>
          </m:rPr>
          <m:t>–</m:t>
        </m:r>
      </m:oMath>
      <w:r>
        <w:rPr>
          <w:b/>
          <w:bCs/>
        </w:rPr>
        <w:t xml:space="preserve">2.48B of adjusted EBITDA</w:t>
      </w:r>
      <w:r>
        <w:t xml:space="preserve">,</w:t>
      </w:r>
      <w:r>
        <w:t xml:space="preserve"> </w:t>
      </w:r>
      <m:oMath>
        <m:r>
          <m:t>5.70</m:t>
        </m:r>
        <m:r>
          <m:rPr>
            <m:sty m:val="p"/>
          </m:rPr>
          <m:t>–</m:t>
        </m:r>
      </m:oMath>
      <w:r>
        <w:rPr>
          <w:b/>
          <w:bCs/>
        </w:rPr>
        <w:t xml:space="preserve">6.10 of adjusted EPS</w:t>
      </w:r>
      <w:r>
        <w:t xml:space="preserve">, and</w:t>
      </w:r>
      <w:r>
        <w:t xml:space="preserve"> </w:t>
      </w:r>
      <m:oMath>
        <m:r>
          <m:t>650</m:t>
        </m:r>
        <m:r>
          <m:t>M</m:t>
        </m:r>
        <m:r>
          <m:rPr>
            <m:sty m:val="p"/>
          </m:rPr>
          <m:t>–</m:t>
        </m:r>
      </m:oMath>
      <w:r>
        <w:rPr>
          <w:b/>
          <w:bCs/>
        </w:rPr>
        <w:t xml:space="preserve">850M of free cash flow</w:t>
      </w:r>
      <w:r>
        <w:t xml:space="preserve">.</w:t>
      </w:r>
    </w:p>
    <w:bookmarkEnd w:id="9"/>
    <w:bookmarkStart w:id="13" w:name="what-matters-most-in-the-print"/>
    <w:p>
      <w:pPr>
        <w:pStyle w:val="Heading2"/>
      </w:pPr>
      <w:r>
        <w:t xml:space="preserve">What matters most in the print</w:t>
      </w:r>
    </w:p>
    <w:bookmarkStart w:id="10" w:name="Xf4eee9251d93cc30451a6bba9f24754d81f6ae4"/>
    <w:p>
      <w:pPr>
        <w:pStyle w:val="Heading3"/>
      </w:pPr>
      <w:r>
        <w:t xml:space="preserve">1. Is the path to second-half growth still intact?</w:t>
      </w:r>
    </w:p>
    <w:p>
      <w:pPr>
        <w:pStyle w:val="FirstParagraph"/>
      </w:pPr>
      <w:r>
        <w:t xml:space="preserve">The full-year outlook implies a meaningful growth acceleration after the first half. At the May earnings call, management attributed the expected improvement to:</w:t>
      </w:r>
    </w:p>
    <w:p>
      <w:pPr>
        <w:pStyle w:val="Compact"/>
        <w:numPr>
          <w:ilvl w:val="0"/>
          <w:numId w:val="1001"/>
        </w:numPr>
      </w:pPr>
      <w:r>
        <w:t xml:space="preserve">roughly</w:t>
      </w:r>
      <w:r>
        <w:t xml:space="preserve"> </w:t>
      </w:r>
      <w:r>
        <w:rPr>
          <w:b/>
          <w:bCs/>
        </w:rPr>
        <w:t xml:space="preserve">100 bps</w:t>
      </w:r>
      <w:r>
        <w:t xml:space="preserve"> </w:t>
      </w:r>
      <w:r>
        <w:t xml:space="preserve">from better weighted vehicle production;</w:t>
      </w:r>
    </w:p>
    <w:p>
      <w:pPr>
        <w:pStyle w:val="Compact"/>
        <w:numPr>
          <w:ilvl w:val="0"/>
          <w:numId w:val="1001"/>
        </w:numPr>
      </w:pPr>
      <w:r>
        <w:t xml:space="preserve">roughly</w:t>
      </w:r>
      <w:r>
        <w:t xml:space="preserve"> </w:t>
      </w:r>
      <w:r>
        <w:rPr>
          <w:b/>
          <w:bCs/>
        </w:rPr>
        <w:t xml:space="preserve">150 bps</w:t>
      </w:r>
      <w:r>
        <w:t xml:space="preserve"> </w:t>
      </w:r>
      <w:r>
        <w:t xml:space="preserve">from the roll-off of discrete company-specific headwinds—principally a North American customer supply disruption and China program cancellations; and</w:t>
      </w:r>
    </w:p>
    <w:p>
      <w:pPr>
        <w:pStyle w:val="Compact"/>
        <w:numPr>
          <w:ilvl w:val="0"/>
          <w:numId w:val="1001"/>
        </w:numPr>
      </w:pPr>
      <w:r>
        <w:t xml:space="preserve">roughly</w:t>
      </w:r>
      <w:r>
        <w:t xml:space="preserve"> </w:t>
      </w:r>
      <w:r>
        <w:rPr>
          <w:b/>
          <w:bCs/>
        </w:rPr>
        <w:t xml:space="preserve">300 bps</w:t>
      </w:r>
      <w:r>
        <w:t xml:space="preserve"> </w:t>
      </w:r>
      <w:r>
        <w:t xml:space="preserve">from program launches and production ramps.</w:t>
      </w:r>
    </w:p>
    <w:p>
      <w:pPr>
        <w:pStyle w:val="FirstParagraph"/>
      </w:pPr>
      <w:r>
        <w:t xml:space="preserve">That makes</w:t>
      </w:r>
      <w:r>
        <w:t xml:space="preserve"> </w:t>
      </w:r>
      <w:r>
        <w:rPr>
          <w:b/>
          <w:bCs/>
        </w:rPr>
        <w:t xml:space="preserve">guidance credibility</w:t>
      </w:r>
      <w:r>
        <w:t xml:space="preserve"> </w:t>
      </w:r>
      <w:r>
        <w:t xml:space="preserve">more important than a modest 2Q beat or miss. Investors should focus on whether customer schedules, especially in China and North America, continue to support the ramp assumptions.</w:t>
      </w:r>
    </w:p>
    <w:p>
      <w:pPr>
        <w:pStyle w:val="BodyText"/>
      </w:pPr>
      <w:r>
        <w:t xml:space="preserve">Key proof points: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China:</w:t>
      </w:r>
      <w:r>
        <w:t xml:space="preserve"> </w:t>
      </w:r>
      <w:r>
        <w:t xml:space="preserve">Management said New Aptiv’s China business should turn positive in 2Q as the comparison against canceled programs eases, new launches begin, and production pressure at its largest local OEM normalizes.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North America / ADAS:</w:t>
      </w:r>
      <w:r>
        <w:t xml:space="preserve"> </w:t>
      </w:r>
      <w:r>
        <w:t xml:space="preserve">A major customer’s production interruption tied to a supplier fire was a material first-quarter headwind. Aptiv expected partial recovery in the back half; confirmation of that recovery is essential.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Program-launch cadence:</w:t>
      </w:r>
      <w:r>
        <w:t xml:space="preserve"> </w:t>
      </w:r>
      <w:r>
        <w:t xml:space="preserve">The company acknowledged that China launch timing is the most fluid component of its plan. Any delay could move revenue and margins out of 2026.</w:t>
      </w:r>
    </w:p>
    <w:bookmarkEnd w:id="10"/>
    <w:bookmarkStart w:id="11" w:name="X586b1a8478b7dbca8ce2e625c11bcc3b3d2af47"/>
    <w:p>
      <w:pPr>
        <w:pStyle w:val="Heading3"/>
      </w:pPr>
      <w:r>
        <w:t xml:space="preserve">2. Margin: can Aptiv offset commodity inflation?</w:t>
      </w:r>
    </w:p>
    <w:p>
      <w:pPr>
        <w:pStyle w:val="FirstParagraph"/>
      </w:pPr>
      <w:r>
        <w:t xml:space="preserve">The company guided to a</w:t>
      </w:r>
      <w:r>
        <w:t xml:space="preserve"> </w:t>
      </w:r>
      <w:r>
        <w:rPr>
          <w:b/>
          <w:bCs/>
        </w:rPr>
        <w:t xml:space="preserve">17.6% adjusted EBITDA margin</w:t>
      </w:r>
      <w:r>
        <w:t xml:space="preserve"> </w:t>
      </w:r>
      <w:r>
        <w:t xml:space="preserve">for 2Q versus an</w:t>
      </w:r>
      <w:r>
        <w:t xml:space="preserve"> </w:t>
      </w:r>
      <w:r>
        <w:rPr>
          <w:b/>
          <w:bCs/>
        </w:rPr>
        <w:t xml:space="preserve">18.6% full-year midpoint</w:t>
      </w:r>
      <w:r>
        <w:t xml:space="preserve">, making the quarter a deliberately lower-margin bridge to a stronger second half.</w:t>
      </w:r>
    </w:p>
    <w:p>
      <w:pPr>
        <w:pStyle w:val="BodyText"/>
      </w:pPr>
      <w:r>
        <w:t xml:space="preserve">The pressure points are clear:</w:t>
      </w:r>
    </w:p>
    <w:p>
      <w:pPr>
        <w:pStyle w:val="Compact"/>
        <w:numPr>
          <w:ilvl w:val="0"/>
          <w:numId w:val="1003"/>
        </w:numPr>
      </w:pPr>
      <w:r>
        <w:t xml:space="preserve">copper, gold, silver and resin costs increased beyond Aptiv’s prior expectations;</w:t>
      </w:r>
    </w:p>
    <w:p>
      <w:pPr>
        <w:pStyle w:val="Compact"/>
        <w:numPr>
          <w:ilvl w:val="0"/>
          <w:numId w:val="1003"/>
        </w:numPr>
      </w:pPr>
      <w:r>
        <w:t xml:space="preserve">management quantified the incremental commodity/FX impact versus its earlier plan at roughly</w:t>
      </w:r>
      <w:r>
        <w:t xml:space="preserve"> </w:t>
      </w:r>
      <w:r>
        <w:rPr>
          <w:b/>
          <w:bCs/>
        </w:rPr>
        <w:t xml:space="preserve">60 bps</w:t>
      </w:r>
      <w:r>
        <w:t xml:space="preserve">, largely commodity-driven;</w:t>
      </w:r>
    </w:p>
    <w:p>
      <w:pPr>
        <w:pStyle w:val="Compact"/>
        <w:numPr>
          <w:ilvl w:val="0"/>
          <w:numId w:val="1003"/>
        </w:numPr>
      </w:pPr>
      <w:r>
        <w:t xml:space="preserve">Aptiv expects to offset the pressure through operational actions and customer recoveries, but recoveries usually lag cost increases by several months.</w:t>
      </w:r>
    </w:p>
    <w:p>
      <w:pPr>
        <w:pStyle w:val="FirstParagraph"/>
      </w:pPr>
      <w:r>
        <w:t xml:space="preserve">The constructive counterpoint is that Aptiv entered the year with commodity and FX hedges: its March 10-Q disclosed about</w:t>
      </w:r>
      <w:r>
        <w:t xml:space="preserve"> </w:t>
      </w:r>
      <w:r>
        <w:rPr>
          <w:b/>
          <w:bCs/>
        </w:rPr>
        <w:t xml:space="preserve">$121 million of pre-tax hedge gains</w:t>
      </w:r>
      <w:r>
        <w:t xml:space="preserve"> </w:t>
      </w:r>
      <w:r>
        <w:t xml:space="preserve">expected to flow into cost of sales over the next 12 months. Still, investors will want detail on whether raw-material inflation has intensified since May and whether customer pass-through mechanisms are working as anticipated.</w:t>
      </w:r>
    </w:p>
    <w:p>
      <w:pPr>
        <w:pStyle w:val="BodyText"/>
      </w:pPr>
      <w:r>
        <w:rPr>
          <w:b/>
          <w:bCs/>
        </w:rPr>
        <w:t xml:space="preserve">Read-through:</w:t>
      </w:r>
      <w:r>
        <w:t xml:space="preserve"> </w:t>
      </w:r>
      <w:r>
        <w:t xml:space="preserve">Holding full-year EBITDA-margin guidance would likely be received favorably, particularly if management can show that the 2Q margin is seasonal/timing-related rather than the start of a structural reset lower.</w:t>
      </w:r>
    </w:p>
    <w:bookmarkEnd w:id="11"/>
    <w:bookmarkStart w:id="12" w:name="X7c051d64c8b337fa6497874e6c90ae5c0862dbe"/>
    <w:p>
      <w:pPr>
        <w:pStyle w:val="Heading3"/>
      </w:pPr>
      <w:r>
        <w:t xml:space="preserve">3. Separate operating performance from spin-related accounting noise</w:t>
      </w:r>
    </w:p>
    <w:p>
      <w:pPr>
        <w:pStyle w:val="FirstParagraph"/>
      </w:pPr>
      <w:r>
        <w:t xml:space="preserve">This will be an unusually noisy GAAP quarter. The Versigent separation and related balance-sheet actions create several non-core items that can obscure underlying execution:</w:t>
      </w:r>
    </w:p>
    <w:p>
      <w:pPr>
        <w:pStyle w:val="Compact"/>
        <w:numPr>
          <w:ilvl w:val="0"/>
          <w:numId w:val="1004"/>
        </w:numPr>
      </w:pPr>
      <w:r>
        <w:t xml:space="preserve">Aptiv expected approximately</w:t>
      </w:r>
      <w:r>
        <w:t xml:space="preserve"> </w:t>
      </w:r>
      <w:r>
        <w:rPr>
          <w:b/>
          <w:bCs/>
        </w:rPr>
        <w:t xml:space="preserve">$100 million of separation-related costs</w:t>
      </w:r>
      <w:r>
        <w:t xml:space="preserve"> </w:t>
      </w:r>
      <w:r>
        <w:t xml:space="preserve">in 2Q.</w:t>
      </w:r>
    </w:p>
    <w:p>
      <w:pPr>
        <w:pStyle w:val="Compact"/>
        <w:numPr>
          <w:ilvl w:val="0"/>
          <w:numId w:val="1004"/>
        </w:numPr>
      </w:pPr>
      <w:r>
        <w:t xml:space="preserve">The company disclosed expected</w:t>
      </w:r>
      <w:r>
        <w:t xml:space="preserve"> </w:t>
      </w:r>
      <w:r>
        <w:rPr>
          <w:b/>
          <w:bCs/>
        </w:rPr>
        <w:t xml:space="preserve">$50 million of bank-related success fees</w:t>
      </w:r>
      <w:r>
        <w:t xml:space="preserve"> </w:t>
      </w:r>
      <w:r>
        <w:t xml:space="preserve">associated with completion of the separation.</w:t>
      </w:r>
    </w:p>
    <w:p>
      <w:pPr>
        <w:pStyle w:val="Compact"/>
        <w:numPr>
          <w:ilvl w:val="0"/>
          <w:numId w:val="1004"/>
        </w:numPr>
      </w:pPr>
      <w:r>
        <w:t xml:space="preserve">It expected to recognize an approximately</w:t>
      </w:r>
      <w:r>
        <w:t xml:space="preserve"> </w:t>
      </w:r>
      <m:oMath>
        <m:r>
          <m:t>59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g</m:t>
        </m:r>
        <m:r>
          <m:t>a</m:t>
        </m:r>
        <m:r>
          <m:t>i</m:t>
        </m:r>
        <m:r>
          <m:t>n</m:t>
        </m:r>
        <m:r>
          <m:t>o</m:t>
        </m:r>
        <m:r>
          <m:t>n</m:t>
        </m:r>
        <m:r>
          <m:t>d</m:t>
        </m:r>
        <m:r>
          <m:t>e</m:t>
        </m:r>
        <m:r>
          <m:t>b</m:t>
        </m:r>
        <m:r>
          <m:t>t</m:t>
        </m:r>
        <m:r>
          <m:t>e</m:t>
        </m:r>
        <m:r>
          <m:t>x</m:t>
        </m:r>
        <m:r>
          <m:t>t</m:t>
        </m:r>
        <m:r>
          <m:t>i</m:t>
        </m:r>
        <m:r>
          <m:t>n</m:t>
        </m:r>
        <m:r>
          <m:t>g</m:t>
        </m:r>
        <m:r>
          <m:t>u</m:t>
        </m:r>
        <m:r>
          <m:t>i</m:t>
        </m:r>
        <m:r>
          <m:t>s</m:t>
        </m:r>
        <m:r>
          <m:t>h</m:t>
        </m:r>
        <m:r>
          <m:t>m</m:t>
        </m:r>
        <m:r>
          <m:t>e</m:t>
        </m:r>
        <m:r>
          <m:t>n</m:t>
        </m:r>
        <m:r>
          <m:t>t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i</m:t>
        </m:r>
        <m:r>
          <m:t>n</m:t>
        </m:r>
        <m:r>
          <m:t>2</m:t>
        </m:r>
        <m:r>
          <m:t>Q</m:t>
        </m:r>
        <m:r>
          <m:t>a</m:t>
        </m:r>
        <m:r>
          <m:t>f</m:t>
        </m:r>
        <m:r>
          <m:t>t</m:t>
        </m:r>
        <m:r>
          <m:t>e</m:t>
        </m:r>
        <m:r>
          <m:t>r</m:t>
        </m:r>
        <m:r>
          <m:t>t</m:t>
        </m:r>
        <m:r>
          <m:t>e</m:t>
        </m:r>
        <m:r>
          <m:t>n</m:t>
        </m:r>
        <m:r>
          <m:t>d</m:t>
        </m:r>
        <m:r>
          <m:t>e</m:t>
        </m:r>
        <m:r>
          <m:t>r</m:t>
        </m:r>
        <m:r>
          <m:t>i</m:t>
        </m:r>
        <m:r>
          <m:t>n</m:t>
        </m:r>
        <m:r>
          <m:t>g</m:t>
        </m:r>
        <m:r>
          <m:t>c</m:t>
        </m:r>
        <m:r>
          <m:t>e</m:t>
        </m:r>
        <m:r>
          <m:t>r</m:t>
        </m:r>
        <m:r>
          <m:t>t</m:t>
        </m:r>
        <m:r>
          <m:t>a</m:t>
        </m:r>
        <m:r>
          <m:t>i</m:t>
        </m:r>
        <m:r>
          <m:t>n</m:t>
        </m:r>
        <m:r>
          <m:t>n</m:t>
        </m:r>
        <m:r>
          <m:t>o</m:t>
        </m:r>
        <m:r>
          <m:t>t</m:t>
        </m:r>
        <m:r>
          <m:t>e</m:t>
        </m:r>
        <m:r>
          <m:t>s</m:t>
        </m:r>
        <m:r>
          <m:rPr>
            <m:sty m:val="p"/>
          </m:rPr>
          <m:t>,</m:t>
        </m:r>
        <m:r>
          <m:t>a</m:t>
        </m:r>
        <m:r>
          <m:t>l</m:t>
        </m:r>
        <m:r>
          <m:t>o</m:t>
        </m:r>
        <m:r>
          <m:t>n</m:t>
        </m:r>
        <m:r>
          <m:t>g</m:t>
        </m:r>
        <m:r>
          <m:t>s</m:t>
        </m:r>
        <m:r>
          <m:t>i</m:t>
        </m:r>
        <m:r>
          <m:t>d</m:t>
        </m:r>
        <m:r>
          <m:t>e</m:t>
        </m:r>
        <m:r>
          <m:t>a</m:t>
        </m:r>
        <m:r>
          <m:t>n</m:t>
        </m:r>
        <m:r>
          <m:t>a</m:t>
        </m:r>
        <m:r>
          <m:t>p</m:t>
        </m:r>
        <m:r>
          <m:t>p</m:t>
        </m:r>
        <m:r>
          <m:t>r</m:t>
        </m:r>
        <m:r>
          <m:t>o</m:t>
        </m:r>
        <m:r>
          <m:t>x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11 million loss</w:t>
      </w:r>
      <w:r>
        <w:t xml:space="preserve"> </w:t>
      </w:r>
      <w:r>
        <w:t xml:space="preserve">associated with redemption of other notes.</w:t>
      </w:r>
    </w:p>
    <w:p>
      <w:pPr>
        <w:pStyle w:val="FirstParagraph"/>
      </w:pPr>
      <w:r>
        <w:t xml:space="preserve">As a result, investors should emphasize</w:t>
      </w:r>
      <w:r>
        <w:t xml:space="preserve"> </w:t>
      </w:r>
      <w:r>
        <w:rPr>
          <w:b/>
          <w:bCs/>
        </w:rPr>
        <w:t xml:space="preserve">adjusted EBITDA, adjusted EPS, segment margins, cash flow, and the unchanged-or-changed full-year outlook</w:t>
      </w:r>
      <w:r>
        <w:t xml:space="preserve">, rather than react solely to GAAP EPS.</w:t>
      </w:r>
    </w:p>
    <w:bookmarkEnd w:id="12"/>
    <w:bookmarkEnd w:id="13"/>
    <w:bookmarkStart w:id="16" w:name="segment-checkpoints"/>
    <w:p>
      <w:pPr>
        <w:pStyle w:val="Heading2"/>
      </w:pPr>
      <w:r>
        <w:t xml:space="preserve">Segment checkpoints</w:t>
      </w:r>
    </w:p>
    <w:bookmarkStart w:id="14" w:name="Xc08daa980a34d0d89b2e8e087f464d83f45a0d7"/>
    <w:p>
      <w:pPr>
        <w:pStyle w:val="Heading3"/>
      </w:pPr>
      <w:r>
        <w:t xml:space="preserve">Intelligent Systems: the higher-growth strategic segment</w:t>
      </w:r>
    </w:p>
    <w:p>
      <w:pPr>
        <w:pStyle w:val="FirstParagraph"/>
      </w:pPr>
      <w:r>
        <w:t xml:space="preserve">Intelligent Systems includes sensors, compute, and software/services. In 1Q, revenue was pressured by China program cancellations and the North American customer production disruption, though software and services grew double digits.</w:t>
      </w:r>
    </w:p>
    <w:p>
      <w:pPr>
        <w:pStyle w:val="BodyText"/>
      </w:pPr>
      <w:r>
        <w:t xml:space="preserve">For 2Q, watch for:</w:t>
      </w:r>
    </w:p>
    <w:p>
      <w:pPr>
        <w:pStyle w:val="Compact"/>
        <w:numPr>
          <w:ilvl w:val="0"/>
          <w:numId w:val="1005"/>
        </w:numPr>
      </w:pPr>
      <w:r>
        <w:t xml:space="preserve">China growth turning positive;</w:t>
      </w:r>
    </w:p>
    <w:p>
      <w:pPr>
        <w:pStyle w:val="Compact"/>
        <w:numPr>
          <w:ilvl w:val="0"/>
          <w:numId w:val="1005"/>
        </w:numPr>
      </w:pPr>
      <w:r>
        <w:t xml:space="preserve">the status of ADAS volumes and customer production recovery;</w:t>
      </w:r>
    </w:p>
    <w:p>
      <w:pPr>
        <w:pStyle w:val="Compact"/>
        <w:numPr>
          <w:ilvl w:val="0"/>
          <w:numId w:val="1005"/>
        </w:numPr>
      </w:pPr>
      <w:r>
        <w:t xml:space="preserve">continued double-digit software and services growth;</w:t>
      </w:r>
    </w:p>
    <w:p>
      <w:pPr>
        <w:pStyle w:val="Compact"/>
        <w:numPr>
          <w:ilvl w:val="0"/>
          <w:numId w:val="1005"/>
        </w:numPr>
      </w:pPr>
      <w:r>
        <w:t xml:space="preserve">progress in non-automotive applications, including aerospace/defense, robotics, drones, and industrial markets.</w:t>
      </w:r>
    </w:p>
    <w:p>
      <w:pPr>
        <w:pStyle w:val="FirstParagraph"/>
      </w:pPr>
      <w:r>
        <w:t xml:space="preserve">This segment is central to the post-spin equity story. A clean recovery in sales growth and a stable-to-improving margin outlook would support management’s claim that Aptiv can grow faster and with better economics as a narrower technology company.</w:t>
      </w:r>
    </w:p>
    <w:bookmarkEnd w:id="14"/>
    <w:bookmarkStart w:id="15" w:name="Xa16111ccac37cecd7fda66d3bb013482f6bd65c"/>
    <w:p>
      <w:pPr>
        <w:pStyle w:val="Heading3"/>
      </w:pPr>
      <w:r>
        <w:t xml:space="preserve">Engineered Components: volume resilience and input-cost control</w:t>
      </w:r>
    </w:p>
    <w:p>
      <w:pPr>
        <w:pStyle w:val="FirstParagraph"/>
      </w:pPr>
      <w:r>
        <w:t xml:space="preserve">Engineered Components was broadly flat organically in 1Q, with non-automotive growth offset by automotive customer-mix pressure in China. The segment has exposure to higher copper and resin costs but also benefits from demand for high-speed interconnects, electrical architecture, aerospace/defense, telecom/datacom, and energy-storage applications.</w:t>
      </w:r>
    </w:p>
    <w:p>
      <w:pPr>
        <w:pStyle w:val="BodyText"/>
      </w:pPr>
      <w:r>
        <w:t xml:space="preserve">Investors should look for:</w:t>
      </w:r>
    </w:p>
    <w:p>
      <w:pPr>
        <w:pStyle w:val="Compact"/>
        <w:numPr>
          <w:ilvl w:val="0"/>
          <w:numId w:val="1006"/>
        </w:numPr>
      </w:pPr>
      <w:r>
        <w:t xml:space="preserve">normalization in China customer mix;</w:t>
      </w:r>
    </w:p>
    <w:p>
      <w:pPr>
        <w:pStyle w:val="Compact"/>
        <w:numPr>
          <w:ilvl w:val="0"/>
          <w:numId w:val="1006"/>
        </w:numPr>
      </w:pPr>
      <w:r>
        <w:t xml:space="preserve">continued non-automotive growth;</w:t>
      </w:r>
    </w:p>
    <w:p>
      <w:pPr>
        <w:pStyle w:val="Compact"/>
        <w:numPr>
          <w:ilvl w:val="0"/>
          <w:numId w:val="1006"/>
        </w:numPr>
      </w:pPr>
      <w:r>
        <w:t xml:space="preserve">evidence that pricing, hedging, and productivity can protect profitability;</w:t>
      </w:r>
    </w:p>
    <w:p>
      <w:pPr>
        <w:pStyle w:val="Compact"/>
        <w:numPr>
          <w:ilvl w:val="0"/>
          <w:numId w:val="1006"/>
        </w:numPr>
      </w:pPr>
      <w:r>
        <w:t xml:space="preserve">commentary on data-center, aerospace, energy-storage, and AI-at-the-edge opportunities.</w:t>
      </w:r>
    </w:p>
    <w:bookmarkEnd w:id="15"/>
    <w:bookmarkEnd w:id="16"/>
    <w:bookmarkStart w:id="17" w:name="X39ebd7bf8aae8e52e436ca5f76a1007df0865a5"/>
    <w:p>
      <w:pPr>
        <w:pStyle w:val="Heading2"/>
      </w:pPr>
      <w:r>
        <w:t xml:space="preserve">Bookings and non-automotive diversification: a strategic upside lever</w:t>
      </w:r>
    </w:p>
    <w:p>
      <w:pPr>
        <w:pStyle w:val="FirstParagraph"/>
      </w:pPr>
      <w:r>
        <w:t xml:space="preserve">Aptiv reported</w:t>
      </w:r>
      <w:r>
        <w:t xml:space="preserve"> </w:t>
      </w:r>
      <m:oMath>
        <m:r>
          <m:t>4.6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t>n</m:t>
        </m:r>
        <m:r>
          <m:t>e</m:t>
        </m:r>
        <m:r>
          <m:t>w</m:t>
        </m:r>
        <m:r>
          <m:rPr>
            <m:sty m:val="p"/>
          </m:rPr>
          <m:t>−</m:t>
        </m:r>
        <m:r>
          <m:t>b</m:t>
        </m:r>
        <m:r>
          <m:t>u</m:t>
        </m:r>
        <m:r>
          <m:t>s</m:t>
        </m:r>
        <m:r>
          <m:t>i</m:t>
        </m:r>
        <m:r>
          <m:t>n</m:t>
        </m:r>
        <m:r>
          <m:t>e</m:t>
        </m:r>
        <m:r>
          <m:t>s</m:t>
        </m:r>
        <m:r>
          <m:t>s</m:t>
        </m:r>
        <m:r>
          <m:t>a</m:t>
        </m:r>
        <m:r>
          <m:t>w</m:t>
        </m:r>
        <m:r>
          <m:t>a</m:t>
        </m:r>
        <m:r>
          <m:t>r</m:t>
        </m:r>
        <m:r>
          <m:t>d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i</m:t>
        </m:r>
        <m:r>
          <m:t>n</m:t>
        </m:r>
        <m:r>
          <m:t>1</m:t>
        </m:r>
        <m:r>
          <m:t>Q</m:t>
        </m:r>
        <m:r>
          <m:rPr>
            <m:sty m:val="p"/>
          </m:rPr>
          <m:t>—</m:t>
        </m:r>
        <m:r>
          <m:t>a</m:t>
        </m:r>
        <m:r>
          <m:t>b</m:t>
        </m:r>
        <m:r>
          <m:t>o</m:t>
        </m:r>
        <m:r>
          <m:t>u</m:t>
        </m:r>
        <m:r>
          <m:t>t</m:t>
        </m:r>
        <m:r>
          <m:t>15</m:t>
        </m:r>
      </m:oMath>
      <w:r>
        <w:rPr>
          <w:b/>
          <w:bCs/>
        </w:rPr>
        <w:t xml:space="preserve">900 million in non-automotive awards</w:t>
      </w:r>
      <w:r>
        <w:t xml:space="preserve">. Management reaffirmed an expectation for</w:t>
      </w:r>
      <w:r>
        <w:t xml:space="preserve"> </w:t>
      </w:r>
      <w:r>
        <w:rPr>
          <w:b/>
          <w:bCs/>
        </w:rPr>
        <w:t xml:space="preserve">more than $20 billion of 2026 bookings</w:t>
      </w:r>
      <w:r>
        <w:t xml:space="preserve">.</w:t>
      </w:r>
    </w:p>
    <w:p>
      <w:pPr>
        <w:pStyle w:val="BodyText"/>
      </w:pPr>
      <w:r>
        <w:t xml:space="preserve">While bookings do not immediately affect earnings, this is an important medium-term indicator. The company is seeking to leverage its automotive-grade engineering, supply-chain capabilities, software, compute, and interconnect portfolio into markets with potentially shorter award-to-revenue cycles than automotive.</w:t>
      </w:r>
    </w:p>
    <w:p>
      <w:pPr>
        <w:pStyle w:val="BodyText"/>
      </w:pPr>
      <w:r>
        <w:t xml:space="preserve">The call should provide useful color on whether the pipeline is converting in:</w:t>
      </w:r>
    </w:p>
    <w:p>
      <w:pPr>
        <w:pStyle w:val="Compact"/>
        <w:numPr>
          <w:ilvl w:val="0"/>
          <w:numId w:val="1007"/>
        </w:numPr>
      </w:pPr>
      <w:r>
        <w:t xml:space="preserve">aerospace and defense;</w:t>
      </w:r>
    </w:p>
    <w:p>
      <w:pPr>
        <w:pStyle w:val="Compact"/>
        <w:numPr>
          <w:ilvl w:val="0"/>
          <w:numId w:val="1007"/>
        </w:numPr>
      </w:pPr>
      <w:r>
        <w:t xml:space="preserve">robotics and drones;</w:t>
      </w:r>
    </w:p>
    <w:p>
      <w:pPr>
        <w:pStyle w:val="Compact"/>
        <w:numPr>
          <w:ilvl w:val="0"/>
          <w:numId w:val="1007"/>
        </w:numPr>
      </w:pPr>
      <w:r>
        <w:t xml:space="preserve">energy storage;</w:t>
      </w:r>
    </w:p>
    <w:p>
      <w:pPr>
        <w:pStyle w:val="Compact"/>
        <w:numPr>
          <w:ilvl w:val="0"/>
          <w:numId w:val="1007"/>
        </w:numPr>
      </w:pPr>
      <w:r>
        <w:t xml:space="preserve">datacom/data-center interconnects; and</w:t>
      </w:r>
    </w:p>
    <w:p>
      <w:pPr>
        <w:pStyle w:val="Compact"/>
        <w:numPr>
          <w:ilvl w:val="0"/>
          <w:numId w:val="1007"/>
        </w:numPr>
      </w:pPr>
      <w:r>
        <w:t xml:space="preserve">software tools and real-time operating systems.</w:t>
      </w:r>
    </w:p>
    <w:bookmarkEnd w:id="17"/>
    <w:bookmarkStart w:id="18" w:name="X62e61b69b4604d3be5941ced79b87c880bfddba"/>
    <w:p>
      <w:pPr>
        <w:pStyle w:val="Heading2"/>
      </w:pPr>
      <w:r>
        <w:t xml:space="preserve">Cash flow, leverage, and capital allocation</w:t>
      </w:r>
    </w:p>
    <w:p>
      <w:pPr>
        <w:pStyle w:val="FirstParagraph"/>
      </w:pPr>
      <w:r>
        <w:t xml:space="preserve">Aptiv’s full-year free-cash-flow guide midpoint is</w:t>
      </w:r>
      <w:r>
        <w:t xml:space="preserve"> </w:t>
      </w:r>
      <w:r>
        <w:rPr>
          <w:b/>
          <w:bCs/>
        </w:rPr>
        <w:t xml:space="preserve">$750 million</w:t>
      </w:r>
      <w:r>
        <w:t xml:space="preserve">, but first-quarter cash flow was seasonally and transactionally weak: free cash flow was</w:t>
      </w:r>
      <w:r>
        <w:t xml:space="preserve"> </w:t>
      </w:r>
      <w:r>
        <w:rPr>
          <w:b/>
          <w:bCs/>
        </w:rPr>
        <w:t xml:space="preserve">negative $362 million</w:t>
      </w:r>
      <w:r>
        <w:t xml:space="preserve">, including roughly $260 million of separation-related transaction payments.</w:t>
      </w:r>
    </w:p>
    <w:p>
      <w:pPr>
        <w:pStyle w:val="BodyText"/>
      </w:pPr>
      <w:r>
        <w:t xml:space="preserve">The balance-sheet picture improved following the spin:</w:t>
      </w:r>
    </w:p>
    <w:p>
      <w:pPr>
        <w:pStyle w:val="Compact"/>
        <w:numPr>
          <w:ilvl w:val="0"/>
          <w:numId w:val="1008"/>
        </w:numPr>
      </w:pPr>
      <w:r>
        <w:t xml:space="preserve">Versigent provided Aptiv an approximately</w:t>
      </w:r>
      <w:r>
        <w:t xml:space="preserve"> </w:t>
      </w:r>
      <w:r>
        <w:rPr>
          <w:b/>
          <w:bCs/>
        </w:rPr>
        <w:t xml:space="preserve">$1.9 billion cash distribution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t xml:space="preserve">Aptiv used that cash to retire debt;</w:t>
      </w:r>
    </w:p>
    <w:p>
      <w:pPr>
        <w:pStyle w:val="Compact"/>
        <w:numPr>
          <w:ilvl w:val="0"/>
          <w:numId w:val="1008"/>
        </w:numPr>
      </w:pPr>
      <w:r>
        <w:t xml:space="preserve">management indicated post-spin gross leverage of about</w:t>
      </w:r>
      <w:r>
        <w:t xml:space="preserve"> </w:t>
      </w:r>
      <w:r>
        <w:rPr>
          <w:b/>
          <w:bCs/>
        </w:rPr>
        <w:t xml:space="preserve">2.3x</w:t>
      </w:r>
      <w:r>
        <w:t xml:space="preserve"> </w:t>
      </w:r>
      <w:r>
        <w:t xml:space="preserve">and net leverage of about</w:t>
      </w:r>
      <w:r>
        <w:t xml:space="preserve"> </w:t>
      </w:r>
      <w:r>
        <w:rPr>
          <w:b/>
          <w:bCs/>
        </w:rPr>
        <w:t xml:space="preserve">1.9x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t xml:space="preserve">Aptiv repurchased $75 million of stock in 1Q and a further</w:t>
      </w:r>
      <w:r>
        <w:t xml:space="preserve"> </w:t>
      </w:r>
      <m:oMath>
        <m:r>
          <m:t>48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t</m:t>
        </m:r>
        <m:r>
          <m:t>h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M</m:t>
        </m:r>
        <m:r>
          <m:t>a</m:t>
        </m:r>
        <m:r>
          <m:t>y</m:t>
        </m:r>
        <m:r>
          <m:t>4</m:t>
        </m:r>
        <m:r>
          <m:rPr>
            <m:sty m:val="p"/>
          </m:rPr>
          <m:t>,</m:t>
        </m:r>
        <m:r>
          <m:t>w</m:t>
        </m:r>
        <m:r>
          <m:t>i</m:t>
        </m:r>
        <m:r>
          <m:t>t</m:t>
        </m:r>
        <m:r>
          <m:t>h</m:t>
        </m:r>
        <m:r>
          <m:t>a</m:t>
        </m:r>
        <m:r>
          <m:t>p</m:t>
        </m:r>
        <m:r>
          <m:t>p</m:t>
        </m:r>
        <m:r>
          <m:t>r</m:t>
        </m:r>
        <m:r>
          <m:t>o</m:t>
        </m:r>
        <m:r>
          <m:t>x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2.0 billion** still available under its authorization at that point.</w:t>
      </w:r>
    </w:p>
    <w:p>
      <w:pPr>
        <w:pStyle w:val="FirstParagraph"/>
      </w:pPr>
      <w:r>
        <w:t xml:space="preserve">The key issue is whether management can maintain its free-cash-flow guide while funding stranded-cost removal, separation costs, supply-chain resiliency, bolt-on M&amp;A, and repurchases. Any increase in buyback activity or newly announced bolt-on acquisition would be notable.</w:t>
      </w:r>
    </w:p>
    <w:bookmarkEnd w:id="18"/>
    <w:bookmarkStart w:id="19" w:name="stock-context"/>
    <w:p>
      <w:pPr>
        <w:pStyle w:val="Heading2"/>
      </w:pPr>
      <w:r>
        <w:t xml:space="preserve">Stock context</w:t>
      </w:r>
    </w:p>
    <w:p>
      <w:pPr>
        <w:pStyle w:val="FirstParagraph"/>
      </w:pPr>
      <w:r>
        <w:t xml:space="preserve">APTV closed at</w:t>
      </w:r>
      <w:r>
        <w:t xml:space="preserve"> </w:t>
      </w:r>
      <w:r>
        <w:rPr>
          <w:b/>
          <w:bCs/>
        </w:rPr>
        <w:t xml:space="preserve">$57.25 on August 3</w:t>
      </w:r>
      <w:r>
        <w:t xml:space="preserve">, down roughly</w:t>
      </w:r>
      <w:r>
        <w:t xml:space="preserve"> </w:t>
      </w:r>
      <w:r>
        <w:rPr>
          <w:b/>
          <w:bCs/>
        </w:rPr>
        <w:t xml:space="preserve">3.8%</w:t>
      </w:r>
      <w:r>
        <w:t xml:space="preserve"> </w:t>
      </w:r>
      <w:r>
        <w:t xml:space="preserve">from the day before its 1Q report on May 4 and about</w:t>
      </w:r>
      <w:r>
        <w:t xml:space="preserve"> </w:t>
      </w:r>
      <w:r>
        <w:rPr>
          <w:b/>
          <w:bCs/>
        </w:rPr>
        <w:t xml:space="preserve">25.5% below</w:t>
      </w:r>
      <w:r>
        <w:t xml:space="preserve"> </w:t>
      </w:r>
      <w:r>
        <w:t xml:space="preserve">its June 3 closing high of $76.82.</w:t>
      </w:r>
    </w:p>
    <w:p>
      <w:pPr>
        <w:pStyle w:val="BodyText"/>
      </w:pPr>
      <w:r>
        <w:t xml:space="preserve">That trading pattern suggests the market remains unconvinced on the timing and durability of the post-spin growth inflection. As a result, the stock reaction is likely to depend more on confidence in the full-year guide and 2H setup than on a small 2Q EPS variance.</w:t>
      </w:r>
    </w:p>
    <w:bookmarkEnd w:id="19"/>
    <w:bookmarkStart w:id="20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rPr>
          <w:b/>
          <w:bCs/>
        </w:rPr>
        <w:t xml:space="preserve">The most constructive outcome</w:t>
      </w:r>
      <w:r>
        <w:t xml:space="preserve"> </w:t>
      </w:r>
      <w:r>
        <w:t xml:space="preserve">would be: sales, EBITDA, and adjusted EPS around or above the guided midpoint; China turning positive; confirmation that North American ADAS disruption is recovering; stable full-year guidance; and convincing evidence that commodity inflation remains manageable.</w:t>
      </w:r>
    </w:p>
    <w:p>
      <w:pPr>
        <w:pStyle w:val="BodyText"/>
      </w:pPr>
      <w:r>
        <w:rPr>
          <w:b/>
          <w:bCs/>
        </w:rPr>
        <w:t xml:space="preserve">The principal risk</w:t>
      </w:r>
      <w:r>
        <w:t xml:space="preserve"> </w:t>
      </w:r>
      <w:r>
        <w:t xml:space="preserve">is that Aptiv’s 2H plan rests on multiple moving pieces—production normalization, China improvement, launches, commodity recovery, and margin conversion—so any weakening in schedules or a further rise in input costs could undermine the maintained full-year outlook.</w:t>
      </w:r>
    </w:p>
    <w:p>
      <w:pPr>
        <w:pStyle w:val="BodyText"/>
      </w:pPr>
      <w:r>
        <w:t xml:space="preserve">In short, this is not primarily a “beat versus consensus” event. It is a</w:t>
      </w:r>
      <w:r>
        <w:t xml:space="preserve"> </w:t>
      </w:r>
      <w:r>
        <w:rPr>
          <w:b/>
          <w:bCs/>
        </w:rPr>
        <w:t xml:space="preserve">post-spin execution and guidance-validation event</w:t>
      </w:r>
      <w:r>
        <w:t xml:space="preserve">: investors need evidence that New Aptiv can convert its strategic simplification into durable organic growth, expanding margins, and free-cash-flow delivery.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2026-08-04T00:21:02Z</dcterms:created>
  <dcterms:modified xsi:type="dcterms:W3CDTF">2026-08-04T00:21:02Z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