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APTV — Q2 2026 Earnings Preview</w:t>
      </w:r>
    </w:p>
    <w:p>
      <w:r>
        <w:rPr>
          <w:rFonts w:ascii="Calibri" w:hAnsi="Calibri"/>
          <w:b/>
          <w:color w:val="525866"/>
          <w:sz w:val="22"/>
        </w:rPr>
        <w:t>Aptiv PLC (NYSE: APTV)</w:t>
      </w:r>
      <w:r>
        <w:rPr>
          <w:rFonts w:ascii="Calibri" w:hAnsi="Calibri"/>
          <w:color w:val="525866"/>
          <w:sz w:val="22"/>
        </w:rPr>
        <w:t xml:space="preserve">   |   Earnings Date: </w:t>
      </w:r>
      <w:r>
        <w:rPr>
          <w:rFonts w:ascii="Calibri" w:hAnsi="Calibri"/>
          <w:b/>
          <w:color w:val="525866"/>
          <w:sz w:val="22"/>
        </w:rPr>
        <w:t>August 4, 2026 (Pre-Market)</w:t>
      </w:r>
      <w:r>
        <w:rPr>
          <w:rFonts w:ascii="Calibri" w:hAnsi="Calibri"/>
          <w:color w:val="525866"/>
          <w:sz w:val="22"/>
        </w:rPr>
        <w:t xml:space="preserve">   |   Prepared: August 3, 2026</w:t>
      </w:r>
    </w:p>
    <w:p>
      <w:r>
        <w:rPr>
          <w:rFonts w:ascii="Calibri" w:hAnsi="Calibri"/>
          <w:b/>
          <w:color w:val="525866"/>
          <w:sz w:val="22"/>
        </w:rPr>
        <w:t xml:space="preserve">Note: </w:t>
      </w:r>
      <w:r>
        <w:rPr>
          <w:rFonts w:ascii="Calibri" w:hAnsi="Calibri"/>
          <w:i/>
          <w:color w:val="525866"/>
          <w:sz w:val="22"/>
        </w:rPr>
        <w:t>Q2 2026 is APTV's first quarter reported as New Aptiv (standalone, ex-EDS), following the April 1, 2026 spin-off of the Electrical Distribution Systems business into Versigent. Revenue consensus of ~$3.32B reflects this structural change vs. ~$5.1B in Q2 2025 (which included EDS). All YoY comparisons reflect this spin-off effect. New Aptiv operates two segments: Intelligent Systems and Engineered Components.</w:t>
      </w:r>
    </w:p>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 xml:space="preserve">The bar appears manageable — consensus at </w:t>
      </w:r>
      <w:r>
        <w:rPr>
          <w:rFonts w:ascii="Calibri" w:hAnsi="Calibri"/>
          <w:b/>
          <w:color w:val="525866"/>
          <w:sz w:val="22"/>
        </w:rPr>
        <w:t>$1.42 EPS and $3.32B revenue</w:t>
      </w:r>
      <w:r>
        <w:rPr>
          <w:rFonts w:ascii="Calibri" w:hAnsi="Calibri"/>
          <w:color w:val="525866"/>
          <w:sz w:val="22"/>
        </w:rPr>
        <w:t xml:space="preserve"> is set against a company that has beaten in each of the last 4 quarters (avg. surprise +11.5%), but the stock's muted reaction to Q1's beat signals the market is focused on </w:t>
      </w:r>
      <w:r>
        <w:rPr>
          <w:rFonts w:ascii="Calibri" w:hAnsi="Calibri"/>
          <w:b/>
          <w:color w:val="525866"/>
          <w:sz w:val="22"/>
        </w:rPr>
        <w:t>H2 execution and commodity headwind recovery</w:t>
      </w:r>
      <w:r>
        <w:rPr>
          <w:rFonts w:ascii="Calibri" w:hAnsi="Calibri"/>
          <w:color w:val="525866"/>
          <w:sz w:val="22"/>
        </w:rPr>
        <w:t xml:space="preserve"> rather than the Q2 print itself.</w:t>
      </w:r>
    </w:p>
    <w:p>
      <w:r>
        <w:rPr>
          <w:rFonts w:ascii="Calibri" w:hAnsi="Calibri"/>
          <w:color w:val="525866"/>
          <w:sz w:val="22"/>
        </w:rPr>
        <w:t xml:space="preserve">Heading into APTV's first standalone quarter as New Aptiv, the setup is nuanced. Consensus EPS of $1.42 and revenue of $3.32B represent a modest bar — management guided to </w:t>
      </w:r>
      <w:r>
        <w:rPr>
          <w:rFonts w:ascii="Calibri" w:hAnsi="Calibri"/>
          <w:b/>
          <w:color w:val="525866"/>
          <w:sz w:val="22"/>
        </w:rPr>
        <w:t>$1.40 EPS and ~2% adjusted revenue growth</w:t>
      </w:r>
      <w:r>
        <w:rPr>
          <w:rFonts w:ascii="Calibri" w:hAnsi="Calibri"/>
          <w:color w:val="525866"/>
          <w:sz w:val="22"/>
        </w:rPr>
        <w:t xml:space="preserve"> at the Q1 call, implying consensus is essentially in line with guidance midpoint. The company has beaten EPS in each of the last four quarters with an average surprise of ~11.5%, suggesting a pattern of conservative guidance. However, the stock's muted-to-negative reaction to Q1's beat (shares dipped despite the beat) signals the market is less focused on the Q2 print and more on: (1) whether the </w:t>
      </w:r>
      <w:r>
        <w:rPr>
          <w:rFonts w:ascii="Calibri" w:hAnsi="Calibri"/>
          <w:b/>
          <w:color w:val="525866"/>
          <w:sz w:val="22"/>
        </w:rPr>
        <w:t>H2 acceleration thesis</w:t>
      </w:r>
      <w:r>
        <w:rPr>
          <w:rFonts w:ascii="Calibri" w:hAnsi="Calibri"/>
          <w:color w:val="525866"/>
          <w:sz w:val="22"/>
        </w:rPr>
        <w:t xml:space="preserve"> — driven by program launches, abatement of customer-specific headwinds, and engineering credit true-ups — is tracking, and (2) whether </w:t>
      </w:r>
      <w:r>
        <w:rPr>
          <w:rFonts w:ascii="Calibri" w:hAnsi="Calibri"/>
          <w:b/>
          <w:color w:val="525866"/>
          <w:sz w:val="22"/>
        </w:rPr>
        <w:t>commodity headwinds (copper, gold, silver, resins)</w:t>
      </w:r>
      <w:r>
        <w:rPr>
          <w:rFonts w:ascii="Calibri" w:hAnsi="Calibri"/>
          <w:color w:val="525866"/>
          <w:sz w:val="22"/>
        </w:rPr>
        <w:t xml:space="preserve"> that came in 60bps above forecast in Q1 are stabilizing. The wildcard is the </w:t>
      </w:r>
      <w:r>
        <w:rPr>
          <w:rFonts w:ascii="Calibri" w:hAnsi="Calibri"/>
          <w:b/>
          <w:color w:val="525866"/>
          <w:sz w:val="22"/>
        </w:rPr>
        <w:t>non-automotive growth trajectory</w:t>
      </w:r>
      <w:r>
        <w:rPr>
          <w:rFonts w:ascii="Calibri" w:hAnsi="Calibri"/>
          <w:color w:val="525866"/>
          <w:sz w:val="22"/>
        </w:rPr>
        <w:t>: management guided to high-single-digit non-auto revenue growth and double-digit software/services growth, and any acceleration or deceleration here could move the stock more than the headline beat/miss. APTV trades at ~9-10x forward P/E, a steep discount to its own history and to the $82.50 average analyst price target, suggesting the stock is pricing in continued execution risk rather than the re-rating potential of the non-auto diversification story.</w:t>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 xml:space="preserve">Consensus is essentially in line with management's own Q2 guidance midpoint — not a high bar, but not a low one either. The bigger swing factor is </w:t>
      </w:r>
      <w:r>
        <w:rPr>
          <w:rFonts w:ascii="Calibri" w:hAnsi="Calibri"/>
          <w:b/>
          <w:color w:val="525866"/>
          <w:sz w:val="22"/>
        </w:rPr>
        <w:t>Engineered Components margin</w:t>
      </w:r>
      <w:r>
        <w:rPr>
          <w:rFonts w:ascii="Calibri" w:hAnsi="Calibri"/>
          <w:color w:val="525866"/>
          <w:sz w:val="22"/>
        </w:rPr>
        <w:t>, where commodity recovery timing will determine whether the H2 step-up story is credible.</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rPr>
                <w:rFonts w:ascii="Calibri" w:hAnsi="Calibri"/>
                <w:b/>
                <w:sz w:val="22"/>
              </w:rPr>
              <w:t>KPI</w:t>
            </w:r>
          </w:p>
        </w:tc>
        <w:tc>
          <w:tcPr>
            <w:tcW w:type="dxa" w:w="1234"/>
          </w:tcPr>
          <w:p>
            <w:r>
              <w:rPr>
                <w:rFonts w:ascii="Calibri" w:hAnsi="Calibri"/>
                <w:b/>
                <w:sz w:val="22"/>
              </w:rPr>
              <w:t>Q1 2026 Actual</w:t>
            </w:r>
          </w:p>
        </w:tc>
        <w:tc>
          <w:tcPr>
            <w:tcW w:type="dxa" w:w="1234"/>
          </w:tcPr>
          <w:p>
            <w:r>
              <w:rPr>
                <w:rFonts w:ascii="Calibri" w:hAnsi="Calibri"/>
                <w:b/>
                <w:sz w:val="22"/>
              </w:rPr>
              <w:t>Q2 2025 Actual (Pro Forma, ex-EDS)</w:t>
            </w:r>
          </w:p>
        </w:tc>
        <w:tc>
          <w:tcPr>
            <w:tcW w:type="dxa" w:w="1234"/>
          </w:tcPr>
          <w:p>
            <w:r>
              <w:rPr>
                <w:rFonts w:ascii="Calibri" w:hAnsi="Calibri"/>
                <w:b/>
                <w:sz w:val="22"/>
              </w:rPr>
              <w:t>Q2 2026 Consensus</w:t>
            </w:r>
          </w:p>
        </w:tc>
        <w:tc>
          <w:tcPr>
            <w:tcW w:type="dxa" w:w="1234"/>
          </w:tcPr>
          <w:p>
            <w:r>
              <w:rPr>
                <w:rFonts w:ascii="Calibri" w:hAnsi="Calibri"/>
                <w:b/>
                <w:sz w:val="22"/>
              </w:rPr>
              <w:t>YoY Change</w:t>
            </w:r>
          </w:p>
        </w:tc>
        <w:tc>
          <w:tcPr>
            <w:tcW w:type="dxa" w:w="1234"/>
          </w:tcPr>
          <w:p>
            <w:r>
              <w:rPr>
                <w:rFonts w:ascii="Calibri" w:hAnsi="Calibri"/>
                <w:b/>
                <w:sz w:val="22"/>
              </w:rPr>
              <w:t>Q2 2026 Mgmt Guidance</w:t>
            </w:r>
          </w:p>
        </w:tc>
        <w:tc>
          <w:tcPr>
            <w:tcW w:type="dxa" w:w="1234"/>
          </w:tcPr>
          <w:p>
            <w:r>
              <w:rPr>
                <w:rFonts w:ascii="Calibri" w:hAnsi="Calibri"/>
                <w:b/>
                <w:sz w:val="22"/>
              </w:rPr>
              <w:t>Consensus vs. Guidance</w:t>
            </w:r>
          </w:p>
        </w:tc>
      </w:tr>
      <w:tr>
        <w:tc>
          <w:tcPr>
            <w:tcW w:type="dxa" w:w="1234"/>
          </w:tcPr>
          <w:p>
            <w:r>
              <w:rPr>
                <w:rFonts w:ascii="Calibri" w:hAnsi="Calibri"/>
                <w:sz w:val="22"/>
              </w:rPr>
              <w:t>Revenue</w:t>
            </w:r>
          </w:p>
        </w:tc>
        <w:tc>
          <w:tcPr>
            <w:tcW w:type="dxa" w:w="1234"/>
          </w:tcPr>
          <w:p>
            <w:r>
              <w:rPr>
                <w:rFonts w:ascii="Calibri" w:hAnsi="Calibri"/>
                <w:sz w:val="22"/>
              </w:rPr>
              <w:t>$3,068M</w:t>
            </w:r>
          </w:p>
        </w:tc>
        <w:tc>
          <w:tcPr>
            <w:tcW w:type="dxa" w:w="1234"/>
          </w:tcPr>
          <w:p>
            <w:r>
              <w:rPr>
                <w:rFonts w:ascii="Calibri" w:hAnsi="Calibri"/>
                <w:sz w:val="22"/>
              </w:rPr>
              <w:t>$3,207M</w:t>
            </w:r>
          </w:p>
        </w:tc>
        <w:tc>
          <w:tcPr>
            <w:tcW w:type="dxa" w:w="1234"/>
          </w:tcPr>
          <w:p>
            <w:r>
              <w:rPr>
                <w:rFonts w:ascii="Calibri" w:hAnsi="Calibri"/>
                <w:sz w:val="22"/>
              </w:rPr>
              <w:t>$3,317M</w:t>
            </w:r>
          </w:p>
        </w:tc>
        <w:tc>
          <w:tcPr>
            <w:tcW w:type="dxa" w:w="1234"/>
          </w:tcPr>
          <w:p>
            <w:r>
              <w:rPr>
                <w:rFonts w:ascii="Calibri" w:hAnsi="Calibri"/>
                <w:sz w:val="22"/>
              </w:rPr>
              <w:t>+3.4%</w:t>
            </w:r>
          </w:p>
        </w:tc>
        <w:tc>
          <w:tcPr>
            <w:tcW w:type="dxa" w:w="1234"/>
          </w:tcPr>
          <w:p>
            <w:r>
              <w:rPr>
                <w:rFonts w:ascii="Calibri" w:hAnsi="Calibri"/>
                <w:sz w:val="22"/>
              </w:rPr>
              <w:t>~$3,300M (~2% growth)</w:t>
            </w:r>
          </w:p>
        </w:tc>
        <w:tc>
          <w:tcPr>
            <w:tcW w:type="dxa" w:w="1234"/>
          </w:tcPr>
          <w:p>
            <w:r>
              <w:rPr>
                <w:rFonts w:ascii="Calibri" w:hAnsi="Calibri"/>
                <w:sz w:val="22"/>
              </w:rPr>
              <w:t>+0.5%</w:t>
            </w:r>
          </w:p>
        </w:tc>
      </w:tr>
      <w:tr>
        <w:tc>
          <w:tcPr>
            <w:tcW w:type="dxa" w:w="1234"/>
          </w:tcPr>
          <w:p>
            <w:r>
              <w:rPr>
                <w:rFonts w:ascii="Calibri" w:hAnsi="Calibri"/>
                <w:sz w:val="22"/>
              </w:rPr>
              <w:t>Adj. Operating EPS</w:t>
            </w:r>
          </w:p>
        </w:tc>
        <w:tc>
          <w:tcPr>
            <w:tcW w:type="dxa" w:w="1234"/>
          </w:tcPr>
          <w:p>
            <w:r>
              <w:rPr>
                <w:rFonts w:ascii="Calibri" w:hAnsi="Calibri"/>
                <w:sz w:val="22"/>
              </w:rPr>
              <w:t>$1.71</w:t>
            </w:r>
          </w:p>
        </w:tc>
        <w:tc>
          <w:tcPr>
            <w:tcW w:type="dxa" w:w="1234"/>
          </w:tcPr>
          <w:p>
            <w:r>
              <w:rPr>
                <w:rFonts w:ascii="Calibri" w:hAnsi="Calibri"/>
                <w:sz w:val="22"/>
              </w:rPr>
              <w:t>$2.12</w:t>
            </w:r>
          </w:p>
        </w:tc>
        <w:tc>
          <w:tcPr>
            <w:tcW w:type="dxa" w:w="1234"/>
          </w:tcPr>
          <w:p>
            <w:r>
              <w:rPr>
                <w:rFonts w:ascii="Calibri" w:hAnsi="Calibri"/>
                <w:sz w:val="22"/>
              </w:rPr>
              <w:t>$1.45</w:t>
            </w:r>
          </w:p>
        </w:tc>
        <w:tc>
          <w:tcPr>
            <w:tcW w:type="dxa" w:w="1234"/>
          </w:tcPr>
          <w:p>
            <w:r>
              <w:rPr>
                <w:rFonts w:ascii="Calibri" w:hAnsi="Calibri"/>
                <w:sz w:val="22"/>
              </w:rPr>
              <w:t>-31.6%*</w:t>
            </w:r>
          </w:p>
        </w:tc>
        <w:tc>
          <w:tcPr>
            <w:tcW w:type="dxa" w:w="1234"/>
          </w:tcPr>
          <w:p>
            <w:r>
              <w:rPr>
                <w:rFonts w:ascii="Calibri" w:hAnsi="Calibri"/>
                <w:sz w:val="22"/>
              </w:rPr>
              <w:t>$1.40 midpoint</w:t>
            </w:r>
          </w:p>
        </w:tc>
        <w:tc>
          <w:tcPr>
            <w:tcW w:type="dxa" w:w="1234"/>
          </w:tcPr>
          <w:p>
            <w:r>
              <w:rPr>
                <w:rFonts w:ascii="Calibri" w:hAnsi="Calibri"/>
                <w:sz w:val="22"/>
              </w:rPr>
              <w:t>+3.6%</w:t>
            </w:r>
          </w:p>
        </w:tc>
      </w:tr>
      <w:tr>
        <w:tc>
          <w:tcPr>
            <w:tcW w:type="dxa" w:w="1234"/>
          </w:tcPr>
          <w:p>
            <w:r>
              <w:rPr>
                <w:rFonts w:ascii="Calibri" w:hAnsi="Calibri"/>
                <w:sz w:val="22"/>
              </w:rPr>
              <w:t>Adj. EBITDA</w:t>
            </w:r>
          </w:p>
        </w:tc>
        <w:tc>
          <w:tcPr>
            <w:tcW w:type="dxa" w:w="1234"/>
          </w:tcPr>
          <w:p>
            <w:r>
              <w:rPr>
                <w:rFonts w:ascii="Calibri" w:hAnsi="Calibri"/>
                <w:sz w:val="22"/>
              </w:rPr>
              <w:t>$549M</w:t>
            </w:r>
          </w:p>
        </w:tc>
        <w:tc>
          <w:tcPr>
            <w:tcW w:type="dxa" w:w="1234"/>
          </w:tcPr>
          <w:p>
            <w:r>
              <w:rPr>
                <w:rFonts w:ascii="Calibri" w:hAnsi="Calibri"/>
                <w:sz w:val="22"/>
              </w:rPr>
              <w:t>$598M</w:t>
            </w:r>
          </w:p>
        </w:tc>
        <w:tc>
          <w:tcPr>
            <w:tcW w:type="dxa" w:w="1234"/>
          </w:tcPr>
          <w:p>
            <w:r>
              <w:rPr>
                <w:rFonts w:ascii="Calibri" w:hAnsi="Calibri"/>
                <w:sz w:val="22"/>
              </w:rPr>
              <w:t>$585M</w:t>
            </w:r>
          </w:p>
        </w:tc>
        <w:tc>
          <w:tcPr>
            <w:tcW w:type="dxa" w:w="1234"/>
          </w:tcPr>
          <w:p>
            <w:r>
              <w:rPr>
                <w:rFonts w:ascii="Calibri" w:hAnsi="Calibri"/>
                <w:sz w:val="22"/>
              </w:rPr>
              <w:t>-2.2%</w:t>
            </w:r>
          </w:p>
        </w:tc>
        <w:tc>
          <w:tcPr>
            <w:tcW w:type="dxa" w:w="1234"/>
          </w:tcPr>
          <w:p>
            <w:r>
              <w:rPr>
                <w:rFonts w:ascii="Calibri" w:hAnsi="Calibri"/>
                <w:sz w:val="22"/>
              </w:rPr>
              <w:t>$580M midpoint</w:t>
            </w:r>
          </w:p>
        </w:tc>
        <w:tc>
          <w:tcPr>
            <w:tcW w:type="dxa" w:w="1234"/>
          </w:tcPr>
          <w:p>
            <w:r>
              <w:rPr>
                <w:rFonts w:ascii="Calibri" w:hAnsi="Calibri"/>
                <w:sz w:val="22"/>
              </w:rPr>
              <w:t>+0.9%</w:t>
            </w:r>
          </w:p>
        </w:tc>
      </w:tr>
      <w:tr>
        <w:tc>
          <w:tcPr>
            <w:tcW w:type="dxa" w:w="1234"/>
          </w:tcPr>
          <w:p>
            <w:r>
              <w:rPr>
                <w:rFonts w:ascii="Calibri" w:hAnsi="Calibri"/>
                <w:sz w:val="22"/>
              </w:rPr>
              <w:t>Adj. EBITDA Margin</w:t>
            </w:r>
          </w:p>
        </w:tc>
        <w:tc>
          <w:tcPr>
            <w:tcW w:type="dxa" w:w="1234"/>
          </w:tcPr>
          <w:p>
            <w:r>
              <w:rPr>
                <w:rFonts w:ascii="Calibri" w:hAnsi="Calibri"/>
                <w:sz w:val="22"/>
              </w:rPr>
              <w:t>17.9%</w:t>
            </w:r>
          </w:p>
        </w:tc>
        <w:tc>
          <w:tcPr>
            <w:tcW w:type="dxa" w:w="1234"/>
          </w:tcPr>
          <w:p>
            <w:r>
              <w:rPr>
                <w:rFonts w:ascii="Calibri" w:hAnsi="Calibri"/>
                <w:sz w:val="22"/>
              </w:rPr>
              <w:t>18.6%</w:t>
            </w:r>
          </w:p>
        </w:tc>
        <w:tc>
          <w:tcPr>
            <w:tcW w:type="dxa" w:w="1234"/>
          </w:tcPr>
          <w:p>
            <w:r>
              <w:rPr>
                <w:rFonts w:ascii="Calibri" w:hAnsi="Calibri"/>
                <w:sz w:val="22"/>
              </w:rPr>
              <w:t>17.6%</w:t>
            </w:r>
          </w:p>
        </w:tc>
        <w:tc>
          <w:tcPr>
            <w:tcW w:type="dxa" w:w="1234"/>
          </w:tcPr>
          <w:p>
            <w:r>
              <w:rPr>
                <w:rFonts w:ascii="Calibri" w:hAnsi="Calibri"/>
                <w:sz w:val="22"/>
              </w:rPr>
              <w:t>-100bps</w:t>
            </w:r>
          </w:p>
        </w:tc>
        <w:tc>
          <w:tcPr>
            <w:tcW w:type="dxa" w:w="1234"/>
          </w:tcPr>
          <w:p>
            <w:r>
              <w:rPr>
                <w:rFonts w:ascii="Calibri" w:hAnsi="Calibri"/>
                <w:sz w:val="22"/>
              </w:rPr>
              <w:t>17.6% midpoint</w:t>
            </w:r>
          </w:p>
        </w:tc>
        <w:tc>
          <w:tcPr>
            <w:tcW w:type="dxa" w:w="1234"/>
          </w:tcPr>
          <w:p>
            <w:r>
              <w:rPr>
                <w:rFonts w:ascii="Calibri" w:hAnsi="Calibri"/>
                <w:sz w:val="22"/>
              </w:rPr>
              <w:t>In line</w:t>
            </w:r>
          </w:p>
        </w:tc>
      </w:tr>
      <w:tr>
        <w:tc>
          <w:tcPr>
            <w:tcW w:type="dxa" w:w="1234"/>
          </w:tcPr>
          <w:p>
            <w:r>
              <w:rPr>
                <w:rFonts w:ascii="Calibri" w:hAnsi="Calibri"/>
                <w:sz w:val="22"/>
              </w:rPr>
              <w:t>Revenue — Intelligent Systems</w:t>
            </w:r>
          </w:p>
        </w:tc>
        <w:tc>
          <w:tcPr>
            <w:tcW w:type="dxa" w:w="1234"/>
          </w:tcPr>
          <w:p>
            <w:r>
              <w:rPr>
                <w:rFonts w:ascii="Calibri" w:hAnsi="Calibri"/>
                <w:sz w:val="22"/>
              </w:rPr>
              <w:t>$1,433M</w:t>
            </w:r>
          </w:p>
        </w:tc>
        <w:tc>
          <w:tcPr>
            <w:tcW w:type="dxa" w:w="1234"/>
          </w:tcPr>
          <w:p>
            <w:r>
              <w:rPr>
                <w:rFonts w:ascii="Calibri" w:hAnsi="Calibri"/>
                <w:sz w:val="22"/>
              </w:rPr>
              <w:t>$1,507M</w:t>
            </w:r>
          </w:p>
        </w:tc>
        <w:tc>
          <w:tcPr>
            <w:tcW w:type="dxa" w:w="1234"/>
          </w:tcPr>
          <w:p>
            <w:r>
              <w:rPr>
                <w:rFonts w:ascii="Calibri" w:hAnsi="Calibri"/>
                <w:sz w:val="22"/>
              </w:rPr>
              <w:t>$1,544M</w:t>
            </w:r>
          </w:p>
        </w:tc>
        <w:tc>
          <w:tcPr>
            <w:tcW w:type="dxa" w:w="1234"/>
          </w:tcPr>
          <w:p>
            <w:r>
              <w:rPr>
                <w:rFonts w:ascii="Calibri" w:hAnsi="Calibri"/>
                <w:sz w:val="22"/>
              </w:rPr>
              <w:t>+2.5%</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Revenue — Engineered Components</w:t>
            </w:r>
          </w:p>
        </w:tc>
        <w:tc>
          <w:tcPr>
            <w:tcW w:type="dxa" w:w="1234"/>
          </w:tcPr>
          <w:p>
            <w:r>
              <w:rPr>
                <w:rFonts w:ascii="Calibri" w:hAnsi="Calibri"/>
                <w:sz w:val="22"/>
              </w:rPr>
              <w:t>$1,657M</w:t>
            </w:r>
          </w:p>
        </w:tc>
        <w:tc>
          <w:tcPr>
            <w:tcW w:type="dxa" w:w="1234"/>
          </w:tcPr>
          <w:p>
            <w:r>
              <w:rPr>
                <w:rFonts w:ascii="Calibri" w:hAnsi="Calibri"/>
                <w:sz w:val="22"/>
              </w:rPr>
              <w:t>$1,723M</w:t>
            </w:r>
          </w:p>
        </w:tc>
        <w:tc>
          <w:tcPr>
            <w:tcW w:type="dxa" w:w="1234"/>
          </w:tcPr>
          <w:p>
            <w:r>
              <w:rPr>
                <w:rFonts w:ascii="Calibri" w:hAnsi="Calibri"/>
                <w:sz w:val="22"/>
              </w:rPr>
              <w:t>$1,795M</w:t>
            </w:r>
          </w:p>
        </w:tc>
        <w:tc>
          <w:tcPr>
            <w:tcW w:type="dxa" w:w="1234"/>
          </w:tcPr>
          <w:p>
            <w:r>
              <w:rPr>
                <w:rFonts w:ascii="Calibri" w:hAnsi="Calibri"/>
                <w:sz w:val="22"/>
              </w:rPr>
              <w:t>+4.2%</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Free Cash Flow</w:t>
            </w:r>
          </w:p>
        </w:tc>
        <w:tc>
          <w:tcPr>
            <w:tcW w:type="dxa" w:w="1234"/>
          </w:tcPr>
          <w:p>
            <w:r>
              <w:rPr>
                <w:rFonts w:ascii="Calibri" w:hAnsi="Calibri"/>
                <w:sz w:val="22"/>
              </w:rPr>
              <w:t>-$362M</w:t>
            </w:r>
          </w:p>
        </w:tc>
        <w:tc>
          <w:tcPr>
            <w:tcW w:type="dxa" w:w="1234"/>
          </w:tcPr>
          <w:p>
            <w:r>
              <w:rPr>
                <w:rFonts w:ascii="Calibri" w:hAnsi="Calibri"/>
                <w:sz w:val="22"/>
              </w:rPr>
              <w:t>$361M</w:t>
            </w:r>
          </w:p>
        </w:tc>
        <w:tc>
          <w:tcPr>
            <w:tcW w:type="dxa" w:w="1234"/>
          </w:tcPr>
          <w:p>
            <w:r>
              <w:rPr>
                <w:rFonts w:ascii="Calibri" w:hAnsi="Calibri"/>
                <w:sz w:val="22"/>
              </w:rPr>
              <w:t>$327M</w:t>
            </w:r>
          </w:p>
        </w:tc>
        <w:tc>
          <w:tcPr>
            <w:tcW w:type="dxa" w:w="1234"/>
          </w:tcPr>
          <w:p>
            <w:r>
              <w:rPr>
                <w:rFonts w:ascii="Calibri" w:hAnsi="Calibri"/>
                <w:sz w:val="22"/>
              </w:rPr>
              <w:t>N/M</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*YoY EPS decline reflects spin-off of EDS; on a pro forma New Aptiv basis, the comparison is more meaningful. Q2 2025 figures shown on a pro forma basis (ex-EDS) where available. Q1 2026 FCF was negative due to transaction costs associated with the EDS separation, the majority of which were incurred in H1.</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Adj. Operating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Quarter</w:t>
            </w:r>
          </w:p>
        </w:tc>
        <w:tc>
          <w:tcPr>
            <w:tcW w:type="dxa" w:w="1728"/>
          </w:tcPr>
          <w:p>
            <w:r>
              <w:rPr>
                <w:rFonts w:ascii="Calibri" w:hAnsi="Calibri"/>
                <w:b/>
                <w:sz w:val="22"/>
              </w:rPr>
              <w:t>Reported</w:t>
            </w:r>
          </w:p>
        </w:tc>
        <w:tc>
          <w:tcPr>
            <w:tcW w:type="dxa" w:w="1728"/>
          </w:tcPr>
          <w:p>
            <w:r>
              <w:rPr>
                <w:rFonts w:ascii="Calibri" w:hAnsi="Calibri"/>
                <w:b/>
                <w:sz w:val="22"/>
              </w:rPr>
              <w:t>Consensus</w:t>
            </w:r>
          </w:p>
        </w:tc>
        <w:tc>
          <w:tcPr>
            <w:tcW w:type="dxa" w:w="1728"/>
          </w:tcPr>
          <w:p>
            <w:r>
              <w:rPr>
                <w:rFonts w:ascii="Calibri" w:hAnsi="Calibri"/>
                <w:b/>
                <w:sz w:val="22"/>
              </w:rPr>
              <w:t>Surprise %</w:t>
            </w:r>
          </w:p>
        </w:tc>
        <w:tc>
          <w:tcPr>
            <w:tcW w:type="dxa" w:w="1728"/>
          </w:tcPr>
          <w:p>
            <w:r>
              <w:rPr>
                <w:rFonts w:ascii="Calibri" w:hAnsi="Calibri"/>
                <w:b/>
                <w:sz w:val="22"/>
              </w:rPr>
              <w:t>Result</w:t>
            </w:r>
          </w:p>
        </w:tc>
      </w:tr>
      <w:tr>
        <w:tc>
          <w:tcPr>
            <w:tcW w:type="dxa" w:w="1728"/>
          </w:tcPr>
          <w:p>
            <w:r>
              <w:rPr>
                <w:rFonts w:ascii="Calibri" w:hAnsi="Calibri"/>
                <w:sz w:val="22"/>
              </w:rPr>
              <w:t>Q2 2024</w:t>
            </w:r>
          </w:p>
        </w:tc>
        <w:tc>
          <w:tcPr>
            <w:tcW w:type="dxa" w:w="1728"/>
          </w:tcPr>
          <w:p>
            <w:r>
              <w:rPr>
                <w:rFonts w:ascii="Calibri" w:hAnsi="Calibri"/>
                <w:sz w:val="22"/>
              </w:rPr>
              <w:t>$1.58</w:t>
            </w:r>
          </w:p>
        </w:tc>
        <w:tc>
          <w:tcPr>
            <w:tcW w:type="dxa" w:w="1728"/>
          </w:tcPr>
          <w:p>
            <w:r>
              <w:rPr>
                <w:rFonts w:ascii="Calibri" w:hAnsi="Calibri"/>
                <w:sz w:val="22"/>
              </w:rPr>
              <w:t>$1.41</w:t>
            </w:r>
          </w:p>
        </w:tc>
        <w:tc>
          <w:tcPr>
            <w:tcW w:type="dxa" w:w="1728"/>
          </w:tcPr>
          <w:p>
            <w:r>
              <w:rPr>
                <w:rFonts w:ascii="Calibri" w:hAnsi="Calibri"/>
                <w:b/>
                <w:color w:val="30A46C"/>
                <w:sz w:val="22"/>
              </w:rPr>
              <w:t>+12.1%</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$1.83</w:t>
            </w:r>
          </w:p>
        </w:tc>
        <w:tc>
          <w:tcPr>
            <w:tcW w:type="dxa" w:w="1728"/>
          </w:tcPr>
          <w:p>
            <w:r>
              <w:rPr>
                <w:rFonts w:ascii="Calibri" w:hAnsi="Calibri"/>
                <w:sz w:val="22"/>
              </w:rPr>
              <w:t>$1.68</w:t>
            </w:r>
          </w:p>
        </w:tc>
        <w:tc>
          <w:tcPr>
            <w:tcW w:type="dxa" w:w="1728"/>
          </w:tcPr>
          <w:p>
            <w:r>
              <w:rPr>
                <w:rFonts w:ascii="Calibri" w:hAnsi="Calibri"/>
                <w:b/>
                <w:color w:val="30A46C"/>
                <w:sz w:val="22"/>
              </w:rPr>
              <w:t>+8.9%</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$1.74</w:t>
            </w:r>
          </w:p>
        </w:tc>
        <w:tc>
          <w:tcPr>
            <w:tcW w:type="dxa" w:w="1728"/>
          </w:tcPr>
          <w:p>
            <w:r>
              <w:rPr>
                <w:rFonts w:ascii="Calibri" w:hAnsi="Calibri"/>
                <w:sz w:val="22"/>
              </w:rPr>
              <w:t>$1.63</w:t>
            </w:r>
          </w:p>
        </w:tc>
        <w:tc>
          <w:tcPr>
            <w:tcW w:type="dxa" w:w="1728"/>
          </w:tcPr>
          <w:p>
            <w:r>
              <w:rPr>
                <w:rFonts w:ascii="Calibri" w:hAnsi="Calibri"/>
                <w:b/>
                <w:color w:val="30A46C"/>
                <w:sz w:val="22"/>
              </w:rPr>
              <w:t>+6.7%</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$1.69</w:t>
            </w:r>
          </w:p>
        </w:tc>
        <w:tc>
          <w:tcPr>
            <w:tcW w:type="dxa" w:w="1728"/>
          </w:tcPr>
          <w:p>
            <w:r>
              <w:rPr>
                <w:rFonts w:ascii="Calibri" w:hAnsi="Calibri"/>
                <w:sz w:val="22"/>
              </w:rPr>
              <w:t>$1.48</w:t>
            </w:r>
          </w:p>
        </w:tc>
        <w:tc>
          <w:tcPr>
            <w:tcW w:type="dxa" w:w="1728"/>
          </w:tcPr>
          <w:p>
            <w:r>
              <w:rPr>
                <w:rFonts w:ascii="Calibri" w:hAnsi="Calibri"/>
                <w:b/>
                <w:color w:val="30A46C"/>
                <w:sz w:val="22"/>
              </w:rPr>
              <w:t>+14.2%</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$2.12</w:t>
            </w:r>
          </w:p>
        </w:tc>
        <w:tc>
          <w:tcPr>
            <w:tcW w:type="dxa" w:w="1728"/>
          </w:tcPr>
          <w:p>
            <w:r>
              <w:rPr>
                <w:rFonts w:ascii="Calibri" w:hAnsi="Calibri"/>
                <w:sz w:val="22"/>
              </w:rPr>
              <w:t>$1.82</w:t>
            </w:r>
          </w:p>
        </w:tc>
        <w:tc>
          <w:tcPr>
            <w:tcW w:type="dxa" w:w="1728"/>
          </w:tcPr>
          <w:p>
            <w:r>
              <w:rPr>
                <w:rFonts w:ascii="Calibri" w:hAnsi="Calibri"/>
                <w:b/>
                <w:color w:val="30A46C"/>
                <w:sz w:val="22"/>
              </w:rPr>
              <w:t>+16.5%</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$1.54</w:t>
            </w:r>
          </w:p>
        </w:tc>
        <w:tc>
          <w:tcPr>
            <w:tcW w:type="dxa" w:w="1728"/>
          </w:tcPr>
          <w:p>
            <w:r>
              <w:rPr>
                <w:rFonts w:ascii="Calibri" w:hAnsi="Calibri"/>
                <w:sz w:val="22"/>
              </w:rPr>
              <w:t>$1.80</w:t>
            </w:r>
          </w:p>
        </w:tc>
        <w:tc>
          <w:tcPr>
            <w:tcW w:type="dxa" w:w="1728"/>
          </w:tcPr>
          <w:p>
            <w:r>
              <w:rPr>
                <w:rFonts w:ascii="Calibri" w:hAnsi="Calibri"/>
                <w:b/>
                <w:color w:val="E5484D"/>
                <w:sz w:val="22"/>
              </w:rPr>
              <w:t>-14.4%</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$1.86</w:t>
            </w:r>
          </w:p>
        </w:tc>
        <w:tc>
          <w:tcPr>
            <w:tcW w:type="dxa" w:w="1728"/>
          </w:tcPr>
          <w:p>
            <w:r>
              <w:rPr>
                <w:rFonts w:ascii="Calibri" w:hAnsi="Calibri"/>
                <w:sz w:val="22"/>
              </w:rPr>
              <w:t>$1.82</w:t>
            </w:r>
          </w:p>
        </w:tc>
        <w:tc>
          <w:tcPr>
            <w:tcW w:type="dxa" w:w="1728"/>
          </w:tcPr>
          <w:p>
            <w:r>
              <w:rPr>
                <w:rFonts w:ascii="Calibri" w:hAnsi="Calibri"/>
                <w:b/>
                <w:color w:val="30A46C"/>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$1.71</w:t>
            </w:r>
          </w:p>
        </w:tc>
        <w:tc>
          <w:tcPr>
            <w:tcW w:type="dxa" w:w="1728"/>
          </w:tcPr>
          <w:p>
            <w:r>
              <w:rPr>
                <w:rFonts w:ascii="Calibri" w:hAnsi="Calibri"/>
                <w:sz w:val="22"/>
              </w:rPr>
              <w:t>$1.60</w:t>
            </w:r>
          </w:p>
        </w:tc>
        <w:tc>
          <w:tcPr>
            <w:tcW w:type="dxa" w:w="1728"/>
          </w:tcPr>
          <w:p>
            <w:r>
              <w:rPr>
                <w:rFonts w:ascii="Calibri" w:hAnsi="Calibri"/>
                <w:b/>
                <w:color w:val="30A46C"/>
                <w:sz w:val="22"/>
              </w:rPr>
              <w:t>+6.9%</w:t>
            </w:r>
          </w:p>
        </w:tc>
        <w:tc>
          <w:tcPr>
            <w:tcW w:type="dxa" w:w="1728"/>
          </w:tcPr>
          <w:p>
            <w:r>
              <w:rPr>
                <w:rFonts w:ascii="Calibri" w:hAnsi="Calibri"/>
                <w:b/>
                <w:color w:val="30A46C"/>
                <w:sz w:val="22"/>
              </w:rPr>
              <w:t>Beat</w:t>
            </w:r>
          </w:p>
        </w:tc>
      </w:tr>
    </w:tbl>
    <w:p>
      <w:r>
        <w:rPr>
          <w:rFonts w:ascii="Calibri" w:hAnsi="Calibri"/>
          <w:i/>
          <w:color w:val="525866"/>
          <w:sz w:val="22"/>
        </w:rPr>
        <w:t>APTV has beaten EPS consensus in 7 of the last 8 quarters, with the lone miss in Q3 2025 driven by elevated commodity headwinds. The consistent beat pattern reflects management's conservative guidance approach, though the magnitude of beats has narrowed as the business transitions post-spin.</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 xml:space="preserve">Full-year guidance was </w:t>
      </w:r>
      <w:r>
        <w:rPr>
          <w:rFonts w:ascii="Calibri" w:hAnsi="Calibri"/>
          <w:b/>
          <w:color w:val="525866"/>
          <w:sz w:val="22"/>
        </w:rPr>
        <w:t>maintained at the Q1 call despite commodity headwinds coming in 60bps above forecast</w:t>
      </w:r>
      <w:r>
        <w:rPr>
          <w:rFonts w:ascii="Calibri" w:hAnsi="Calibri"/>
          <w:color w:val="525866"/>
          <w:sz w:val="22"/>
        </w:rPr>
        <w:t xml:space="preserve"> — a signal of management confidence in H2 recovery. No post-earnings guidance revisions have been disclosed since May 5,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Metric</w:t>
            </w:r>
          </w:p>
        </w:tc>
        <w:tc>
          <w:tcPr>
            <w:tcW w:type="dxa" w:w="1728"/>
          </w:tcPr>
          <w:p>
            <w:r>
              <w:rPr>
                <w:rFonts w:ascii="Calibri" w:hAnsi="Calibri"/>
                <w:b/>
                <w:sz w:val="22"/>
              </w:rPr>
              <w:t>Initial Guidance (Q1 2026 Earnings, May 5)</w:t>
            </w:r>
          </w:p>
        </w:tc>
        <w:tc>
          <w:tcPr>
            <w:tcW w:type="dxa" w:w="1728"/>
          </w:tcPr>
          <w:p>
            <w:r>
              <w:rPr>
                <w:rFonts w:ascii="Calibri" w:hAnsi="Calibri"/>
                <w:b/>
                <w:sz w:val="22"/>
              </w:rPr>
              <w:t>Revised Guidance</w:t>
            </w:r>
          </w:p>
        </w:tc>
        <w:tc>
          <w:tcPr>
            <w:tcW w:type="dxa" w:w="1728"/>
          </w:tcPr>
          <w:p>
            <w:r>
              <w:rPr>
                <w:rFonts w:ascii="Calibri" w:hAnsi="Calibri"/>
                <w:b/>
                <w:sz w:val="22"/>
              </w:rPr>
              <w:t>Current Consensus</w:t>
            </w:r>
          </w:p>
        </w:tc>
        <w:tc>
          <w:tcPr>
            <w:tcW w:type="dxa" w:w="1728"/>
          </w:tcPr>
          <w:p>
            <w:r>
              <w:rPr>
                <w:rFonts w:ascii="Calibri" w:hAnsi="Calibri"/>
                <w:b/>
                <w:sz w:val="22"/>
              </w:rPr>
              <w:t>Note</w:t>
            </w:r>
          </w:p>
        </w:tc>
      </w:tr>
      <w:tr>
        <w:tc>
          <w:tcPr>
            <w:tcW w:type="dxa" w:w="1728"/>
          </w:tcPr>
          <w:p>
            <w:r>
              <w:rPr>
                <w:rFonts w:ascii="Calibri" w:hAnsi="Calibri"/>
                <w:sz w:val="22"/>
              </w:rPr>
              <w:t>FY 2026 Revenue Growth (adj.)</w:t>
            </w:r>
          </w:p>
        </w:tc>
        <w:tc>
          <w:tcPr>
            <w:tcW w:type="dxa" w:w="1728"/>
          </w:tcPr>
          <w:p>
            <w:r>
              <w:rPr>
                <w:rFonts w:ascii="Calibri" w:hAnsi="Calibri"/>
                <w:sz w:val="22"/>
              </w:rPr>
              <w:t>~4% at midpoint</w:t>
            </w:r>
          </w:p>
        </w:tc>
        <w:tc>
          <w:tcPr>
            <w:tcW w:type="dxa" w:w="1728"/>
          </w:tcPr>
          <w:p>
            <w:r>
              <w:rPr>
                <w:rFonts w:ascii="Calibri" w:hAnsi="Calibri"/>
                <w:sz w:val="22"/>
              </w:rPr>
              <w:t>—</w:t>
            </w:r>
          </w:p>
        </w:tc>
        <w:tc>
          <w:tcPr>
            <w:tcW w:type="dxa" w:w="1728"/>
          </w:tcPr>
          <w:p>
            <w:r>
              <w:rPr>
                <w:rFonts w:ascii="Calibri" w:hAnsi="Calibri"/>
                <w:sz w:val="22"/>
              </w:rPr>
              <w:t>~4%</w:t>
            </w:r>
          </w:p>
        </w:tc>
        <w:tc>
          <w:tcPr>
            <w:tcW w:type="dxa" w:w="1728"/>
          </w:tcPr>
          <w:p>
            <w:r>
              <w:rPr>
                <w:rFonts w:ascii="Calibri" w:hAnsi="Calibri"/>
                <w:sz w:val="22"/>
              </w:rPr>
              <w:t>Maintained; implies H2 acceleration from program launches and abatement of customer-specific headwinds</w:t>
            </w:r>
          </w:p>
        </w:tc>
      </w:tr>
      <w:tr>
        <w:tc>
          <w:tcPr>
            <w:tcW w:type="dxa" w:w="1728"/>
          </w:tcPr>
          <w:p>
            <w:r>
              <w:rPr>
                <w:rFonts w:ascii="Calibri" w:hAnsi="Calibri"/>
                <w:sz w:val="22"/>
              </w:rPr>
              <w:t>FY 2026 Adj. EBITDA</w:t>
            </w:r>
          </w:p>
        </w:tc>
        <w:tc>
          <w:tcPr>
            <w:tcW w:type="dxa" w:w="1728"/>
          </w:tcPr>
          <w:p>
            <w:r>
              <w:rPr>
                <w:rFonts w:ascii="Calibri" w:hAnsi="Calibri"/>
                <w:sz w:val="22"/>
              </w:rPr>
              <w:t>$2.4B midpoint</w:t>
            </w:r>
          </w:p>
        </w:tc>
        <w:tc>
          <w:tcPr>
            <w:tcW w:type="dxa" w:w="1728"/>
          </w:tcPr>
          <w:p>
            <w:r>
              <w:rPr>
                <w:rFonts w:ascii="Calibri" w:hAnsi="Calibri"/>
                <w:sz w:val="22"/>
              </w:rPr>
              <w:t>—</w:t>
            </w:r>
          </w:p>
        </w:tc>
        <w:tc>
          <w:tcPr>
            <w:tcW w:type="dxa" w:w="1728"/>
          </w:tcPr>
          <w:p>
            <w:r>
              <w:rPr>
                <w:rFonts w:ascii="Calibri" w:hAnsi="Calibri"/>
                <w:sz w:val="22"/>
              </w:rPr>
              <w:t>$2.48B</w:t>
            </w:r>
          </w:p>
        </w:tc>
        <w:tc>
          <w:tcPr>
            <w:tcW w:type="dxa" w:w="1728"/>
          </w:tcPr>
          <w:p>
            <w:r>
              <w:rPr>
                <w:rFonts w:ascii="Calibri" w:hAnsi="Calibri"/>
                <w:sz w:val="22"/>
              </w:rPr>
              <w:t>Consensus slightly above midpoint; reflects confidence in H2 step-up</w:t>
            </w:r>
          </w:p>
        </w:tc>
      </w:tr>
      <w:tr>
        <w:tc>
          <w:tcPr>
            <w:tcW w:type="dxa" w:w="1728"/>
          </w:tcPr>
          <w:p>
            <w:r>
              <w:rPr>
                <w:rFonts w:ascii="Calibri" w:hAnsi="Calibri"/>
                <w:sz w:val="22"/>
              </w:rPr>
              <w:t>FY 2026 Adj. EBITDA Margin</w:t>
            </w:r>
          </w:p>
        </w:tc>
        <w:tc>
          <w:tcPr>
            <w:tcW w:type="dxa" w:w="1728"/>
          </w:tcPr>
          <w:p>
            <w:r>
              <w:rPr>
                <w:rFonts w:ascii="Calibri" w:hAnsi="Calibri"/>
                <w:sz w:val="22"/>
              </w:rPr>
              <w:t>18.6% midpoint</w:t>
            </w:r>
          </w:p>
        </w:tc>
        <w:tc>
          <w:tcPr>
            <w:tcW w:type="dxa" w:w="1728"/>
          </w:tcPr>
          <w:p>
            <w:r>
              <w:rPr>
                <w:rFonts w:ascii="Calibri" w:hAnsi="Calibri"/>
                <w:sz w:val="22"/>
              </w:rPr>
              <w:t>—</w:t>
            </w:r>
          </w:p>
        </w:tc>
        <w:tc>
          <w:tcPr>
            <w:tcW w:type="dxa" w:w="1728"/>
          </w:tcPr>
          <w:p>
            <w:r>
              <w:rPr>
                <w:rFonts w:ascii="Calibri" w:hAnsi="Calibri"/>
                <w:sz w:val="22"/>
              </w:rPr>
              <w:t>18.6%</w:t>
            </w:r>
          </w:p>
        </w:tc>
        <w:tc>
          <w:tcPr>
            <w:tcW w:type="dxa" w:w="1728"/>
          </w:tcPr>
          <w:p>
            <w:r>
              <w:rPr>
                <w:rFonts w:ascii="Calibri" w:hAnsi="Calibri"/>
                <w:sz w:val="22"/>
              </w:rPr>
              <w:t>In line with guidance midpoint</w:t>
            </w:r>
          </w:p>
        </w:tc>
      </w:tr>
      <w:tr>
        <w:tc>
          <w:tcPr>
            <w:tcW w:type="dxa" w:w="1728"/>
          </w:tcPr>
          <w:p>
            <w:r>
              <w:rPr>
                <w:rFonts w:ascii="Calibri" w:hAnsi="Calibri"/>
                <w:sz w:val="22"/>
              </w:rPr>
              <w:t>FY 2026 Adj. EPS</w:t>
            </w:r>
          </w:p>
        </w:tc>
        <w:tc>
          <w:tcPr>
            <w:tcW w:type="dxa" w:w="1728"/>
          </w:tcPr>
          <w:p>
            <w:r>
              <w:rPr>
                <w:rFonts w:ascii="Calibri" w:hAnsi="Calibri"/>
                <w:sz w:val="22"/>
              </w:rPr>
              <w:t>$5.70–$6.10</w:t>
            </w:r>
          </w:p>
        </w:tc>
        <w:tc>
          <w:tcPr>
            <w:tcW w:type="dxa" w:w="1728"/>
          </w:tcPr>
          <w:p>
            <w:r>
              <w:rPr>
                <w:rFonts w:ascii="Calibri" w:hAnsi="Calibri"/>
                <w:sz w:val="22"/>
              </w:rPr>
              <w:t>—</w:t>
            </w:r>
          </w:p>
        </w:tc>
        <w:tc>
          <w:tcPr>
            <w:tcW w:type="dxa" w:w="1728"/>
          </w:tcPr>
          <w:p>
            <w:r>
              <w:rPr>
                <w:rFonts w:ascii="Calibri" w:hAnsi="Calibri"/>
                <w:sz w:val="22"/>
              </w:rPr>
              <w:t>$5.93</w:t>
            </w:r>
          </w:p>
        </w:tc>
        <w:tc>
          <w:tcPr>
            <w:tcW w:type="dxa" w:w="1728"/>
          </w:tcPr>
          <w:p>
            <w:r>
              <w:rPr>
                <w:rFonts w:ascii="Calibri" w:hAnsi="Calibri"/>
                <w:sz w:val="22"/>
              </w:rPr>
              <w:t>Consensus near midpoint ($5.90); reflects post-spin cost structure recalibration</w:t>
            </w:r>
          </w:p>
        </w:tc>
      </w:tr>
      <w:tr>
        <w:tc>
          <w:tcPr>
            <w:tcW w:type="dxa" w:w="1728"/>
          </w:tcPr>
          <w:p>
            <w:r>
              <w:rPr>
                <w:rFonts w:ascii="Calibri" w:hAnsi="Calibri"/>
                <w:sz w:val="22"/>
              </w:rPr>
              <w:t>FY 2026 Free Cash Flow</w:t>
            </w:r>
          </w:p>
        </w:tc>
        <w:tc>
          <w:tcPr>
            <w:tcW w:type="dxa" w:w="1728"/>
          </w:tcPr>
          <w:p>
            <w:r>
              <w:rPr>
                <w:rFonts w:ascii="Calibri" w:hAnsi="Calibri"/>
                <w:sz w:val="22"/>
              </w:rPr>
              <w:t>$750M midpoint</w:t>
            </w:r>
          </w:p>
        </w:tc>
        <w:tc>
          <w:tcPr>
            <w:tcW w:type="dxa" w:w="1728"/>
          </w:tcPr>
          <w:p>
            <w:r>
              <w:rPr>
                <w:rFonts w:ascii="Calibri" w:hAnsi="Calibri"/>
                <w:sz w:val="22"/>
              </w:rPr>
              <w:t>—</w:t>
            </w:r>
          </w:p>
        </w:tc>
        <w:tc>
          <w:tcPr>
            <w:tcW w:type="dxa" w:w="1728"/>
          </w:tcPr>
          <w:p>
            <w:r>
              <w:rPr>
                <w:rFonts w:ascii="Calibri" w:hAnsi="Calibri"/>
                <w:sz w:val="22"/>
              </w:rPr>
              <w:t>$733M</w:t>
            </w:r>
          </w:p>
        </w:tc>
        <w:tc>
          <w:tcPr>
            <w:tcW w:type="dxa" w:w="1728"/>
          </w:tcPr>
          <w:p>
            <w:r>
              <w:rPr>
                <w:rFonts w:ascii="Calibri" w:hAnsi="Calibri"/>
                <w:sz w:val="22"/>
              </w:rPr>
              <w:t>Slightly below midpoint; inclusive of EDS separation transaction costs</w:t>
            </w:r>
          </w:p>
        </w:tc>
      </w:tr>
      <w:tr>
        <w:tc>
          <w:tcPr>
            <w:tcW w:type="dxa" w:w="1728"/>
          </w:tcPr>
          <w:p>
            <w:r>
              <w:rPr>
                <w:rFonts w:ascii="Calibri" w:hAnsi="Calibri"/>
                <w:sz w:val="22"/>
              </w:rPr>
              <w:t>Q2 2026 Revenue Growth</w:t>
            </w:r>
          </w:p>
        </w:tc>
        <w:tc>
          <w:tcPr>
            <w:tcW w:type="dxa" w:w="1728"/>
          </w:tcPr>
          <w:p>
            <w:r>
              <w:rPr>
                <w:rFonts w:ascii="Calibri" w:hAnsi="Calibri"/>
                <w:sz w:val="22"/>
              </w:rPr>
              <w:t>~2% at midpoint</w:t>
            </w:r>
          </w:p>
        </w:tc>
        <w:tc>
          <w:tcPr>
            <w:tcW w:type="dxa" w:w="1728"/>
          </w:tcPr>
          <w:p>
            <w:r>
              <w:rPr>
                <w:rFonts w:ascii="Calibri" w:hAnsi="Calibri"/>
                <w:sz w:val="22"/>
              </w:rPr>
              <w:t>—</w:t>
            </w:r>
          </w:p>
        </w:tc>
        <w:tc>
          <w:tcPr>
            <w:tcW w:type="dxa" w:w="1728"/>
          </w:tcPr>
          <w:p>
            <w:r>
              <w:rPr>
                <w:rFonts w:ascii="Calibri" w:hAnsi="Calibri"/>
                <w:sz w:val="22"/>
              </w:rPr>
              <w:t>~3.4%</w:t>
            </w:r>
          </w:p>
        </w:tc>
        <w:tc>
          <w:tcPr>
            <w:tcW w:type="dxa" w:w="1728"/>
          </w:tcPr>
          <w:p>
            <w:r>
              <w:rPr>
                <w:rFonts w:ascii="Calibri" w:hAnsi="Calibri"/>
                <w:sz w:val="22"/>
              </w:rPr>
              <w:t>Consensus slightly above guidance midpoint</w:t>
            </w:r>
          </w:p>
        </w:tc>
      </w:tr>
      <w:tr>
        <w:tc>
          <w:tcPr>
            <w:tcW w:type="dxa" w:w="1728"/>
          </w:tcPr>
          <w:p>
            <w:r>
              <w:rPr>
                <w:rFonts w:ascii="Calibri" w:hAnsi="Calibri"/>
                <w:sz w:val="22"/>
              </w:rPr>
              <w:t>Q2 2026 Adj. EBITDA</w:t>
            </w:r>
          </w:p>
        </w:tc>
        <w:tc>
          <w:tcPr>
            <w:tcW w:type="dxa" w:w="1728"/>
          </w:tcPr>
          <w:p>
            <w:r>
              <w:rPr>
                <w:rFonts w:ascii="Calibri" w:hAnsi="Calibri"/>
                <w:sz w:val="22"/>
              </w:rPr>
              <w:t>$580M midpoint</w:t>
            </w:r>
          </w:p>
        </w:tc>
        <w:tc>
          <w:tcPr>
            <w:tcW w:type="dxa" w:w="1728"/>
          </w:tcPr>
          <w:p>
            <w:r>
              <w:rPr>
                <w:rFonts w:ascii="Calibri" w:hAnsi="Calibri"/>
                <w:sz w:val="22"/>
              </w:rPr>
              <w:t>—</w:t>
            </w:r>
          </w:p>
        </w:tc>
        <w:tc>
          <w:tcPr>
            <w:tcW w:type="dxa" w:w="1728"/>
          </w:tcPr>
          <w:p>
            <w:r>
              <w:rPr>
                <w:rFonts w:ascii="Calibri" w:hAnsi="Calibri"/>
                <w:sz w:val="22"/>
              </w:rPr>
              <w:t>$585M</w:t>
            </w:r>
          </w:p>
        </w:tc>
        <w:tc>
          <w:tcPr>
            <w:tcW w:type="dxa" w:w="1728"/>
          </w:tcPr>
          <w:p>
            <w:r>
              <w:rPr>
                <w:rFonts w:ascii="Calibri" w:hAnsi="Calibri"/>
                <w:sz w:val="22"/>
              </w:rPr>
              <w:t>Consensus slightly above midpoint</w:t>
            </w:r>
          </w:p>
        </w:tc>
      </w:tr>
      <w:tr>
        <w:tc>
          <w:tcPr>
            <w:tcW w:type="dxa" w:w="1728"/>
          </w:tcPr>
          <w:p>
            <w:r>
              <w:rPr>
                <w:rFonts w:ascii="Calibri" w:hAnsi="Calibri"/>
                <w:sz w:val="22"/>
              </w:rPr>
              <w:t>Q2 2026 Adj. EPS</w:t>
            </w:r>
          </w:p>
        </w:tc>
        <w:tc>
          <w:tcPr>
            <w:tcW w:type="dxa" w:w="1728"/>
          </w:tcPr>
          <w:p>
            <w:r>
              <w:rPr>
                <w:rFonts w:ascii="Calibri" w:hAnsi="Calibri"/>
                <w:sz w:val="22"/>
              </w:rPr>
              <w:t>$1.40 midpoint</w:t>
            </w:r>
          </w:p>
        </w:tc>
        <w:tc>
          <w:tcPr>
            <w:tcW w:type="dxa" w:w="1728"/>
          </w:tcPr>
          <w:p>
            <w:r>
              <w:rPr>
                <w:rFonts w:ascii="Calibri" w:hAnsi="Calibri"/>
                <w:sz w:val="22"/>
              </w:rPr>
              <w:t>—</w:t>
            </w:r>
          </w:p>
        </w:tc>
        <w:tc>
          <w:tcPr>
            <w:tcW w:type="dxa" w:w="1728"/>
          </w:tcPr>
          <w:p>
            <w:r>
              <w:rPr>
                <w:rFonts w:ascii="Calibri" w:hAnsi="Calibri"/>
                <w:sz w:val="22"/>
              </w:rPr>
              <w:t>$1.45</w:t>
            </w:r>
          </w:p>
        </w:tc>
        <w:tc>
          <w:tcPr>
            <w:tcW w:type="dxa" w:w="1728"/>
          </w:tcPr>
          <w:p>
            <w:r>
              <w:rPr>
                <w:rFonts w:ascii="Calibri" w:hAnsi="Calibri"/>
                <w:sz w:val="22"/>
              </w:rPr>
              <w:t>Consensus slightly above midpoint</w:t>
            </w:r>
          </w:p>
        </w:tc>
      </w:tr>
    </w:tbl>
    <w:p>
      <w:r>
        <w:rPr>
          <w:rFonts w:ascii="Calibri" w:hAnsi="Calibri"/>
          <w:color w:val="525866"/>
          <w:sz w:val="22"/>
        </w:rPr>
        <w:t>Management's tone at Q1 was notably confident despite the commodity surprise — they explicitly stated they are "not relying on customer recoveries to achieve our full year outlook" and cited a 95-100% historical recovery rate. The H2 step-up thesis rests on three pillars: (1) ~100bps improvement in vehicle production H1 to H2, (2) ~150bps from abatement of customer-specific headwinds (supplier fire at NA OEM, China program cancellations anniversarying mid-year), and (3) ~300bps from program launch timing. The Nvidia partnership announced in June 2026 was framed as a revenue-generating go-to-market effort (not just a proof-of-concept), adding incremental confidence to the non-auto growth narrative.</w:t>
      </w:r>
    </w:p>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have moved </w:t>
      </w:r>
      <w:r>
        <w:rPr>
          <w:rFonts w:ascii="Calibri" w:hAnsi="Calibri"/>
          <w:b/>
          <w:color w:val="525866"/>
          <w:sz w:val="22"/>
        </w:rPr>
        <w:t>modestly higher since the Q1 print</w:t>
      </w:r>
      <w:r>
        <w:rPr>
          <w:rFonts w:ascii="Calibri" w:hAnsi="Calibri"/>
          <w:color w:val="525866"/>
          <w:sz w:val="22"/>
        </w:rPr>
        <w:t xml:space="preserve"> — consensus EPS of $1.45 vs. $1.42 post-earnings baseline — suggesting the Street has incrementally gained confidence. FY 2026 estimates are essentially flat, consistent with management maintaining guidance.</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tcPr>
          <w:p>
            <w:r>
              <w:rPr>
                <w:rFonts w:ascii="Calibri" w:hAnsi="Calibri"/>
                <w:b/>
                <w:sz w:val="22"/>
              </w:rPr>
              <w:t>KPI</w:t>
            </w:r>
          </w:p>
        </w:tc>
        <w:tc>
          <w:tcPr>
            <w:tcW w:type="dxa" w:w="960"/>
          </w:tcPr>
          <w:p>
            <w:r>
              <w:rPr>
                <w:rFonts w:ascii="Calibri" w:hAnsi="Calibri"/>
                <w:b/>
                <w:sz w:val="22"/>
              </w:rPr>
              <w:t>Period</w:t>
            </w:r>
          </w:p>
        </w:tc>
        <w:tc>
          <w:tcPr>
            <w:tcW w:type="dxa" w:w="960"/>
          </w:tcPr>
          <w:p>
            <w:r>
              <w:rPr>
                <w:rFonts w:ascii="Calibri" w:hAnsi="Calibri"/>
                <w:b/>
                <w:sz w:val="22"/>
              </w:rPr>
              <w:t>Estimate (May 12, 2026 — 5 days post Q1)</w:t>
            </w:r>
          </w:p>
        </w:tc>
        <w:tc>
          <w:tcPr>
            <w:tcW w:type="dxa" w:w="960"/>
          </w:tcPr>
          <w:p>
            <w:r>
              <w:rPr>
                <w:rFonts w:ascii="Calibri" w:hAnsi="Calibri"/>
                <w:b/>
                <w:sz w:val="22"/>
              </w:rPr>
              <w:t>Current Consensus</w:t>
            </w:r>
          </w:p>
        </w:tc>
        <w:tc>
          <w:tcPr>
            <w:tcW w:type="dxa" w:w="960"/>
          </w:tcPr>
          <w:p>
            <w:r>
              <w:rPr>
                <w:rFonts w:ascii="Calibri" w:hAnsi="Calibri"/>
                <w:b/>
                <w:sz w:val="22"/>
              </w:rPr>
              <w:t>Estimate Δ%</w:t>
            </w:r>
          </w:p>
        </w:tc>
        <w:tc>
          <w:tcPr>
            <w:tcW w:type="dxa" w:w="960"/>
          </w:tcPr>
          <w:p>
            <w:r>
              <w:rPr>
                <w:rFonts w:ascii="Calibri" w:hAnsi="Calibri"/>
                <w:b/>
                <w:sz w:val="22"/>
              </w:rPr>
              <w:t>Initial Guidance (Q1 Call)</w:t>
            </w:r>
          </w:p>
        </w:tc>
        <w:tc>
          <w:tcPr>
            <w:tcW w:type="dxa" w:w="960"/>
          </w:tcPr>
          <w:p>
            <w:r>
              <w:rPr>
                <w:rFonts w:ascii="Calibri" w:hAnsi="Calibri"/>
                <w:b/>
                <w:sz w:val="22"/>
              </w:rPr>
              <w:t>Current Guidance</w:t>
            </w:r>
          </w:p>
        </w:tc>
        <w:tc>
          <w:tcPr>
            <w:tcW w:type="dxa" w:w="960"/>
          </w:tcPr>
          <w:p>
            <w:r>
              <w:rPr>
                <w:rFonts w:ascii="Calibri" w:hAnsi="Calibri"/>
                <w:b/>
                <w:sz w:val="22"/>
              </w:rPr>
              <w:t>Guidance Δ</w:t>
            </w:r>
          </w:p>
        </w:tc>
        <w:tc>
          <w:tcPr>
            <w:tcW w:type="dxa" w:w="960"/>
          </w:tcPr>
          <w:p>
            <w:r>
              <w:rPr>
                <w:rFonts w:ascii="Calibri" w:hAnsi="Calibri"/>
                <w:b/>
                <w:sz w:val="22"/>
              </w:rPr>
              <w:t>Consensus vs. Guidance</w:t>
            </w:r>
          </w:p>
        </w:tc>
      </w:tr>
      <w:tr>
        <w:tc>
          <w:tcPr>
            <w:tcW w:type="dxa" w:w="960"/>
          </w:tcPr>
          <w:p>
            <w:r>
              <w:rPr>
                <w:rFonts w:ascii="Calibri" w:hAnsi="Calibri"/>
                <w:sz w:val="22"/>
              </w:rPr>
              <w:t>Revenue</w:t>
            </w:r>
          </w:p>
        </w:tc>
        <w:tc>
          <w:tcPr>
            <w:tcW w:type="dxa" w:w="960"/>
          </w:tcPr>
          <w:p>
            <w:r>
              <w:rPr>
                <w:rFonts w:ascii="Calibri" w:hAnsi="Calibri"/>
                <w:sz w:val="22"/>
              </w:rPr>
              <w:t>Q2 2026</w:t>
            </w:r>
          </w:p>
        </w:tc>
        <w:tc>
          <w:tcPr>
            <w:tcW w:type="dxa" w:w="960"/>
          </w:tcPr>
          <w:p>
            <w:r>
              <w:rPr>
                <w:rFonts w:ascii="Calibri" w:hAnsi="Calibri"/>
                <w:sz w:val="22"/>
              </w:rPr>
              <w:t>$3,300M</w:t>
            </w:r>
          </w:p>
        </w:tc>
        <w:tc>
          <w:tcPr>
            <w:tcW w:type="dxa" w:w="960"/>
          </w:tcPr>
          <w:p>
            <w:r>
              <w:rPr>
                <w:rFonts w:ascii="Calibri" w:hAnsi="Calibri"/>
                <w:sz w:val="22"/>
              </w:rPr>
              <w:t>$3,317M</w:t>
            </w:r>
          </w:p>
        </w:tc>
        <w:tc>
          <w:tcPr>
            <w:tcW w:type="dxa" w:w="960"/>
          </w:tcPr>
          <w:p>
            <w:r>
              <w:rPr>
                <w:rFonts w:ascii="Calibri" w:hAnsi="Calibri"/>
                <w:sz w:val="22"/>
              </w:rPr>
              <w:t>+0.5%</w:t>
            </w:r>
          </w:p>
        </w:tc>
        <w:tc>
          <w:tcPr>
            <w:tcW w:type="dxa" w:w="960"/>
          </w:tcPr>
          <w:p>
            <w:r>
              <w:rPr>
                <w:rFonts w:ascii="Calibri" w:hAnsi="Calibri"/>
                <w:sz w:val="22"/>
              </w:rPr>
              <w:t>~$3,300M</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+0.5%</w:t>
            </w:r>
          </w:p>
        </w:tc>
      </w:tr>
      <w:tr>
        <w:tc>
          <w:tcPr>
            <w:tcW w:type="dxa" w:w="960"/>
          </w:tcPr>
          <w:p>
            <w:r>
              <w:rPr>
                <w:rFonts w:ascii="Calibri" w:hAnsi="Calibri"/>
                <w:sz w:val="22"/>
              </w:rPr>
              <w:t>Revenue</w:t>
            </w:r>
          </w:p>
        </w:tc>
        <w:tc>
          <w:tcPr>
            <w:tcW w:type="dxa" w:w="960"/>
          </w:tcPr>
          <w:p>
            <w:r>
              <w:rPr>
                <w:rFonts w:ascii="Calibri" w:hAnsi="Calibri"/>
                <w:sz w:val="22"/>
              </w:rPr>
              <w:t>FY 2026</w:t>
            </w:r>
          </w:p>
        </w:tc>
        <w:tc>
          <w:tcPr>
            <w:tcW w:type="dxa" w:w="960"/>
          </w:tcPr>
          <w:p>
            <w:r>
              <w:rPr>
                <w:rFonts w:ascii="Calibri" w:hAnsi="Calibri"/>
                <w:sz w:val="22"/>
              </w:rPr>
              <w:t>$13,404M</w:t>
            </w:r>
          </w:p>
        </w:tc>
        <w:tc>
          <w:tcPr>
            <w:tcW w:type="dxa" w:w="960"/>
          </w:tcPr>
          <w:p>
            <w:r>
              <w:rPr>
                <w:rFonts w:ascii="Calibri" w:hAnsi="Calibri"/>
                <w:sz w:val="22"/>
              </w:rPr>
              <w:t>$13,438M</w:t>
            </w:r>
          </w:p>
        </w:tc>
        <w:tc>
          <w:tcPr>
            <w:tcW w:type="dxa" w:w="960"/>
          </w:tcPr>
          <w:p>
            <w:r>
              <w:rPr>
                <w:rFonts w:ascii="Calibri" w:hAnsi="Calibri"/>
                <w:sz w:val="22"/>
              </w:rPr>
              <w:t>+0.3%</w:t>
            </w:r>
          </w:p>
        </w:tc>
        <w:tc>
          <w:tcPr>
            <w:tcW w:type="dxa" w:w="960"/>
          </w:tcPr>
          <w:p>
            <w:r>
              <w:rPr>
                <w:rFonts w:ascii="Calibri" w:hAnsi="Calibri"/>
                <w:sz w:val="22"/>
              </w:rPr>
              <w:t>~$13,000M midpoint</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+3.4% above midpoint</w:t>
            </w:r>
          </w:p>
        </w:tc>
      </w:tr>
      <w:tr>
        <w:tc>
          <w:tcPr>
            <w:tcW w:type="dxa" w:w="960"/>
          </w:tcPr>
          <w:p>
            <w:r>
              <w:rPr>
                <w:rFonts w:ascii="Calibri" w:hAnsi="Calibri"/>
                <w:sz w:val="22"/>
              </w:rPr>
              <w:t>Adj. EPS</w:t>
            </w:r>
          </w:p>
        </w:tc>
        <w:tc>
          <w:tcPr>
            <w:tcW w:type="dxa" w:w="960"/>
          </w:tcPr>
          <w:p>
            <w:r>
              <w:rPr>
                <w:rFonts w:ascii="Calibri" w:hAnsi="Calibri"/>
                <w:sz w:val="22"/>
              </w:rPr>
              <w:t>Q2 2026</w:t>
            </w:r>
          </w:p>
        </w:tc>
        <w:tc>
          <w:tcPr>
            <w:tcW w:type="dxa" w:w="960"/>
          </w:tcPr>
          <w:p>
            <w:r>
              <w:rPr>
                <w:rFonts w:ascii="Calibri" w:hAnsi="Calibri"/>
                <w:sz w:val="22"/>
              </w:rPr>
              <w:t>$1.42</w:t>
            </w:r>
          </w:p>
        </w:tc>
        <w:tc>
          <w:tcPr>
            <w:tcW w:type="dxa" w:w="960"/>
          </w:tcPr>
          <w:p>
            <w:r>
              <w:rPr>
                <w:rFonts w:ascii="Calibri" w:hAnsi="Calibri"/>
                <w:sz w:val="22"/>
              </w:rPr>
              <w:t>$1.45</w:t>
            </w:r>
          </w:p>
        </w:tc>
        <w:tc>
          <w:tcPr>
            <w:tcW w:type="dxa" w:w="960"/>
          </w:tcPr>
          <w:p>
            <w:r>
              <w:rPr>
                <w:rFonts w:ascii="Calibri" w:hAnsi="Calibri"/>
                <w:sz w:val="22"/>
              </w:rPr>
              <w:t>+2.1%</w:t>
            </w:r>
          </w:p>
        </w:tc>
        <w:tc>
          <w:tcPr>
            <w:tcW w:type="dxa" w:w="960"/>
          </w:tcPr>
          <w:p>
            <w:r>
              <w:rPr>
                <w:rFonts w:ascii="Calibri" w:hAnsi="Calibri"/>
                <w:sz w:val="22"/>
              </w:rPr>
              <w:t>$1.40 midpoint</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+3.6%</w:t>
            </w:r>
          </w:p>
        </w:tc>
      </w:tr>
      <w:tr>
        <w:tc>
          <w:tcPr>
            <w:tcW w:type="dxa" w:w="960"/>
          </w:tcPr>
          <w:p>
            <w:r>
              <w:rPr>
                <w:rFonts w:ascii="Calibri" w:hAnsi="Calibri"/>
                <w:sz w:val="22"/>
              </w:rPr>
              <w:t>Adj. EPS</w:t>
            </w:r>
          </w:p>
        </w:tc>
        <w:tc>
          <w:tcPr>
            <w:tcW w:type="dxa" w:w="960"/>
          </w:tcPr>
          <w:p>
            <w:r>
              <w:rPr>
                <w:rFonts w:ascii="Calibri" w:hAnsi="Calibri"/>
                <w:sz w:val="22"/>
              </w:rPr>
              <w:t>FY 2026</w:t>
            </w:r>
          </w:p>
        </w:tc>
        <w:tc>
          <w:tcPr>
            <w:tcW w:type="dxa" w:w="960"/>
          </w:tcPr>
          <w:p>
            <w:r>
              <w:rPr>
                <w:rFonts w:ascii="Calibri" w:hAnsi="Calibri"/>
                <w:sz w:val="22"/>
              </w:rPr>
              <w:t>$6.23</w:t>
            </w:r>
          </w:p>
        </w:tc>
        <w:tc>
          <w:tcPr>
            <w:tcW w:type="dxa" w:w="960"/>
          </w:tcPr>
          <w:p>
            <w:r>
              <w:rPr>
                <w:rFonts w:ascii="Calibri" w:hAnsi="Calibri"/>
                <w:sz w:val="22"/>
              </w:rPr>
              <w:t>$5.93</w:t>
            </w:r>
          </w:p>
        </w:tc>
        <w:tc>
          <w:tcPr>
            <w:tcW w:type="dxa" w:w="960"/>
          </w:tcPr>
          <w:p>
            <w:r>
              <w:rPr>
                <w:rFonts w:ascii="Calibri" w:hAnsi="Calibri"/>
                <w:sz w:val="22"/>
              </w:rPr>
              <w:t>-4.8%</w:t>
            </w:r>
          </w:p>
        </w:tc>
        <w:tc>
          <w:tcPr>
            <w:tcW w:type="dxa" w:w="960"/>
          </w:tcPr>
          <w:p>
            <w:r>
              <w:rPr>
                <w:rFonts w:ascii="Calibri" w:hAnsi="Calibri"/>
                <w:sz w:val="22"/>
              </w:rPr>
              <w:t>$5.70–$6.10</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Near midpoint ($5.90)</w:t>
            </w:r>
          </w:p>
        </w:tc>
      </w:tr>
      <w:tr>
        <w:tc>
          <w:tcPr>
            <w:tcW w:type="dxa" w:w="960"/>
          </w:tcPr>
          <w:p>
            <w:r>
              <w:rPr>
                <w:rFonts w:ascii="Calibri" w:hAnsi="Calibri"/>
                <w:sz w:val="22"/>
              </w:rPr>
              <w:t>Adj. EBITDA</w:t>
            </w:r>
          </w:p>
        </w:tc>
        <w:tc>
          <w:tcPr>
            <w:tcW w:type="dxa" w:w="960"/>
          </w:tcPr>
          <w:p>
            <w:r>
              <w:rPr>
                <w:rFonts w:ascii="Calibri" w:hAnsi="Calibri"/>
                <w:sz w:val="22"/>
              </w:rPr>
              <w:t>Q2 2026</w:t>
            </w:r>
          </w:p>
        </w:tc>
        <w:tc>
          <w:tcPr>
            <w:tcW w:type="dxa" w:w="960"/>
          </w:tcPr>
          <w:p>
            <w:r>
              <w:rPr>
                <w:rFonts w:ascii="Calibri" w:hAnsi="Calibri"/>
                <w:sz w:val="22"/>
              </w:rPr>
              <w:t>$584M</w:t>
            </w:r>
          </w:p>
        </w:tc>
        <w:tc>
          <w:tcPr>
            <w:tcW w:type="dxa" w:w="960"/>
          </w:tcPr>
          <w:p>
            <w:r>
              <w:rPr>
                <w:rFonts w:ascii="Calibri" w:hAnsi="Calibri"/>
                <w:sz w:val="22"/>
              </w:rPr>
              <w:t>$585M</w:t>
            </w:r>
          </w:p>
        </w:tc>
        <w:tc>
          <w:tcPr>
            <w:tcW w:type="dxa" w:w="960"/>
          </w:tcPr>
          <w:p>
            <w:r>
              <w:rPr>
                <w:rFonts w:ascii="Calibri" w:hAnsi="Calibri"/>
                <w:sz w:val="22"/>
              </w:rPr>
              <w:t>+0.2%</w:t>
            </w:r>
          </w:p>
        </w:tc>
        <w:tc>
          <w:tcPr>
            <w:tcW w:type="dxa" w:w="960"/>
          </w:tcPr>
          <w:p>
            <w:r>
              <w:rPr>
                <w:rFonts w:ascii="Calibri" w:hAnsi="Calibri"/>
                <w:sz w:val="22"/>
              </w:rPr>
              <w:t>$580M midpoint</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+0.9%</w:t>
            </w:r>
          </w:p>
        </w:tc>
      </w:tr>
      <w:tr>
        <w:tc>
          <w:tcPr>
            <w:tcW w:type="dxa" w:w="960"/>
          </w:tcPr>
          <w:p>
            <w:r>
              <w:rPr>
                <w:rFonts w:ascii="Calibri" w:hAnsi="Calibri"/>
                <w:sz w:val="22"/>
              </w:rPr>
              <w:t>Adj. EBITDA</w:t>
            </w:r>
          </w:p>
        </w:tc>
        <w:tc>
          <w:tcPr>
            <w:tcW w:type="dxa" w:w="960"/>
          </w:tcPr>
          <w:p>
            <w:r>
              <w:rPr>
                <w:rFonts w:ascii="Calibri" w:hAnsi="Calibri"/>
                <w:sz w:val="22"/>
              </w:rPr>
              <w:t>FY 2026</w:t>
            </w:r>
          </w:p>
        </w:tc>
        <w:tc>
          <w:tcPr>
            <w:tcW w:type="dxa" w:w="960"/>
          </w:tcPr>
          <w:p>
            <w:r>
              <w:rPr>
                <w:rFonts w:ascii="Calibri" w:hAnsi="Calibri"/>
                <w:sz w:val="22"/>
              </w:rPr>
              <w:t>$2,558M</w:t>
            </w:r>
          </w:p>
        </w:tc>
        <w:tc>
          <w:tcPr>
            <w:tcW w:type="dxa" w:w="960"/>
          </w:tcPr>
          <w:p>
            <w:r>
              <w:rPr>
                <w:rFonts w:ascii="Calibri" w:hAnsi="Calibri"/>
                <w:sz w:val="22"/>
              </w:rPr>
              <w:t>$2,481M</w:t>
            </w:r>
          </w:p>
        </w:tc>
        <w:tc>
          <w:tcPr>
            <w:tcW w:type="dxa" w:w="960"/>
          </w:tcPr>
          <w:p>
            <w:r>
              <w:rPr>
                <w:rFonts w:ascii="Calibri" w:hAnsi="Calibri"/>
                <w:sz w:val="22"/>
              </w:rPr>
              <w:t>-3.0%</w:t>
            </w:r>
          </w:p>
        </w:tc>
        <w:tc>
          <w:tcPr>
            <w:tcW w:type="dxa" w:w="960"/>
          </w:tcPr>
          <w:p>
            <w:r>
              <w:rPr>
                <w:rFonts w:ascii="Calibri" w:hAnsi="Calibri"/>
                <w:sz w:val="22"/>
              </w:rPr>
              <w:t>$2.4B midpoint</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+3.4% above midpoint</w:t>
            </w:r>
          </w:p>
        </w:tc>
      </w:tr>
    </w:tbl>
    <w:p>
      <w:r>
        <w:rPr>
          <w:rFonts w:ascii="Calibri" w:hAnsi="Calibri"/>
          <w:color w:val="525866"/>
          <w:sz w:val="22"/>
        </w:rPr>
        <w:t>The modest upward revision to Q2 EPS (+2.1%) and flat FY estimates suggest the Street is not pricing in meaningful upside or downside beyond guidance. The FY EPS revision from $6.23 to $5.93 (-4.8%) reflects the post-spin recalibration of the share count and cost structure rather than a fundamental deterioration. The gap between FY revenue consensus ($13.4B) and management's midpoint guidance (~$13.0B) warrants watching — if management reaffirms or raises the top end, it could be a positive catalyst.</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 xml:space="preserve">APTV has essentially matched the S&amp;P 500 since Q1 earnings (+4.4% vs. +4.7% for SPY), but the path was volatile — a </w:t>
      </w:r>
      <w:r>
        <w:rPr>
          <w:rFonts w:ascii="Calibri" w:hAnsi="Calibri"/>
          <w:b/>
          <w:color w:val="525866"/>
          <w:sz w:val="22"/>
        </w:rPr>
        <w:t>sharp ~40% spike driven by the Nvidia partnership announcement in early June</w:t>
      </w:r>
      <w:r>
        <w:rPr>
          <w:rFonts w:ascii="Calibri" w:hAnsi="Calibri"/>
          <w:color w:val="525866"/>
          <w:sz w:val="22"/>
        </w:rPr>
        <w:t>, followed by a significant pullback. The stock is now back near its post-earnings level, suggesting the Nvidia excitement was largely unwound and the market is waiting for execution proof.</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APTV vs XLY (Consumer Discretionary ETF) vs S&amp;P 500 (SPY) — Indexed to 100 at Q1 2026 Earnings (May 5, 2026). Sector ETF: XLY used as broad consumer/auto proxy given APTV’s industrial technology positioning post-spin.</w:t>
      </w:r>
    </w:p>
    <w:p>
      <w:pPr>
        <w:pStyle w:val="ListBullet"/>
        <w:ind w:left="360" w:hanging="360"/>
      </w:pPr>
      <w:r>
        <w:rPr>
          <w:rFonts w:ascii="Calibri" w:hAnsi="Calibri"/>
          <w:color w:val="525866"/>
          <w:sz w:val="22"/>
        </w:rPr>
        <w:t xml:space="preserve">APTV spiked ~40% from its post-earnings close to a peak of ~$76–77 in early June, driven by the </w:t>
      </w:r>
      <w:r>
        <w:rPr>
          <w:rFonts w:ascii="Calibri" w:hAnsi="Calibri"/>
          <w:b/>
          <w:color w:val="525866"/>
          <w:sz w:val="22"/>
        </w:rPr>
        <w:t>Nvidia edge AI partnership announcement (June 2, 2026)</w:t>
      </w:r>
      <w:r>
        <w:rPr>
          <w:rFonts w:ascii="Calibri" w:hAnsi="Calibri"/>
          <w:color w:val="525866"/>
          <w:sz w:val="22"/>
        </w:rPr>
        <w:t>, framed as a revenue-generating collaboration combining Aptiv’s Wind River software stack with NVIDIA Jetson platforms.</w:t>
      </w:r>
    </w:p>
    <w:p>
      <w:pPr>
        <w:pStyle w:val="ListBullet"/>
        <w:ind w:left="360" w:hanging="360"/>
      </w:pPr>
      <w:r>
        <w:rPr>
          <w:rFonts w:ascii="Calibri" w:hAnsi="Calibri"/>
          <w:color w:val="525866"/>
          <w:sz w:val="22"/>
        </w:rPr>
        <w:t>The stock then gave back most of those gains through June–July, returning to the $56–60 range, as the market reassessed the near-term revenue contribution of the partnership.</w:t>
      </w:r>
    </w:p>
    <w:p>
      <w:pPr>
        <w:pStyle w:val="ListBullet"/>
        <w:ind w:left="360" w:hanging="360"/>
      </w:pPr>
      <w:r>
        <w:rPr>
          <w:rFonts w:ascii="Calibri" w:hAnsi="Calibri"/>
          <w:b/>
          <w:color w:val="525866"/>
          <w:sz w:val="22"/>
        </w:rPr>
        <w:t>Wells Fargo cut its price target from $82 to $77 on June 25, 2026</w:t>
      </w:r>
      <w:r>
        <w:rPr>
          <w:rFonts w:ascii="Calibri" w:hAnsi="Calibri"/>
          <w:color w:val="525866"/>
          <w:sz w:val="22"/>
        </w:rPr>
        <w:t>, citing near-term commodity headwinds (Overweight maintained).</w:t>
      </w:r>
    </w:p>
    <w:p>
      <w:pPr>
        <w:pStyle w:val="ListBullet"/>
        <w:ind w:left="360" w:hanging="360"/>
      </w:pPr>
      <w:r>
        <w:rPr>
          <w:rFonts w:ascii="Calibri" w:hAnsi="Calibri"/>
          <w:b/>
          <w:color w:val="525866"/>
          <w:sz w:val="22"/>
        </w:rPr>
        <w:t>Morgan Stanley upgraded APTV to Overweight on May 8, 2026</w:t>
      </w:r>
      <w:r>
        <w:rPr>
          <w:rFonts w:ascii="Calibri" w:hAnsi="Calibri"/>
          <w:color w:val="525866"/>
          <w:sz w:val="22"/>
        </w:rPr>
        <w:t xml:space="preserve"> (3 days post-Q1 earnings) with a $71 price target.</w:t>
      </w:r>
    </w:p>
    <w:p>
      <w:pPr>
        <w:pStyle w:val="ListBullet"/>
        <w:ind w:left="360" w:hanging="360"/>
      </w:pPr>
      <w:r>
        <w:rPr>
          <w:rFonts w:ascii="Calibri" w:hAnsi="Calibri"/>
          <w:b/>
          <w:color w:val="525866"/>
          <w:sz w:val="22"/>
        </w:rPr>
        <w:t>RBC raised its price target from $81 to $90 on July 13, 2026</w:t>
      </w:r>
      <w:r>
        <w:rPr>
          <w:rFonts w:ascii="Calibri" w:hAnsi="Calibri"/>
          <w:color w:val="525866"/>
          <w:sz w:val="22"/>
        </w:rPr>
        <w:t>, maintaining Outperform.</w:t>
      </w:r>
    </w:p>
    <w:p>
      <w:pPr>
        <w:pStyle w:val="ListBullet"/>
        <w:ind w:left="360" w:hanging="360"/>
      </w:pPr>
      <w:r>
        <w:rPr>
          <w:rFonts w:ascii="Calibri" w:hAnsi="Calibri"/>
          <w:b/>
          <w:color w:val="525866"/>
          <w:sz w:val="22"/>
        </w:rPr>
        <w:t xml:space="preserve">Current consensus: </w:t>
      </w:r>
      <w:r>
        <w:rPr>
          <w:rFonts w:ascii="Calibri" w:hAnsi="Calibri"/>
          <w:color w:val="525866"/>
          <w:sz w:val="22"/>
        </w:rPr>
        <w:t>22 Buy / 2 Hold, average price target $82.50 — implying ~45% upside from current levels (~$57).</w:t>
      </w:r>
    </w:p>
    <w:p>
      <w:pPr>
        <w:pStyle w:val="ListBullet"/>
        <w:ind w:left="360" w:hanging="360"/>
      </w:pPr>
      <w:r>
        <w:rPr>
          <w:rFonts w:ascii="Calibri" w:hAnsi="Calibri"/>
          <w:color w:val="525866"/>
          <w:sz w:val="22"/>
        </w:rPr>
        <w:t>The stock’s inability to hold the Nvidia-driven gains suggests the market views the non-auto optionality as real but not yet de-risked enough to sustain a re-rating.</w:t>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 xml:space="preserve">The </w:t>
      </w:r>
      <w:r>
        <w:rPr>
          <w:rFonts w:ascii="Calibri" w:hAnsi="Calibri"/>
          <w:b/>
          <w:color w:val="525866"/>
          <w:sz w:val="22"/>
        </w:rPr>
        <w:t>Nvidia partnership (June 2026)</w:t>
      </w:r>
      <w:r>
        <w:rPr>
          <w:rFonts w:ascii="Calibri" w:hAnsi="Calibri"/>
          <w:color w:val="525866"/>
          <w:sz w:val="22"/>
        </w:rPr>
        <w:t xml:space="preserve"> is the most significant post-Q1 development — management explicitly framed it as revenue-generating, not a proof-of-concept — but the stock’s failure to hold the associated gains suggests the market wants to see actual revenue before awarding a higher multiple.</w:t>
      </w:r>
    </w:p>
    <w:p>
      <w:pPr>
        <w:pStyle w:val="ListBullet"/>
        <w:ind w:left="360" w:hanging="360"/>
      </w:pPr>
      <w:r>
        <w:rPr>
          <w:rFonts w:ascii="Calibri" w:hAnsi="Calibri"/>
          <w:b/>
          <w:color w:val="525866"/>
          <w:sz w:val="22"/>
        </w:rPr>
        <w:t xml:space="preserve">June 2, 2026 — Nvidia Edge AI Partnership Announced: </w:t>
      </w:r>
      <w:r>
        <w:rPr>
          <w:rFonts w:ascii="Calibri" w:hAnsi="Calibri"/>
          <w:color w:val="525866"/>
          <w:sz w:val="22"/>
        </w:rPr>
        <w:t xml:space="preserve">Aptiv announced a revenue-generating collaboration combining its Wind River VxWorks/Helix hypervisor and middleware with NVIDIA Jetson platforms (including next-gen Jetson Thor) targeting industrial automation, robotics, A&amp;D, automotive, and telecom markets. Management also highlighted the 5G-to-6G transition as an explicit target opportunity. The relationship dates to a 2017 ADAS program for VW. </w:t>
      </w:r>
      <w:r>
        <w:rPr>
          <w:rFonts w:ascii="Calibri" w:hAnsi="Calibri"/>
          <w:i/>
          <w:color w:val="525866"/>
          <w:sz w:val="22"/>
        </w:rPr>
        <w:t xml:space="preserve">Implication: </w:t>
      </w:r>
      <w:r>
        <w:rPr>
          <w:rFonts w:ascii="Calibri" w:hAnsi="Calibri"/>
          <w:i/>
          <w:color w:val="525866"/>
          <w:sz w:val="22"/>
        </w:rPr>
        <w:t>Validates the non-auto software/services growth thesis; near-term revenue contribution likely modest but strategically significant.</w:t>
      </w:r>
    </w:p>
    <w:p>
      <w:pPr>
        <w:pStyle w:val="ListBullet"/>
        <w:ind w:left="360" w:hanging="360"/>
      </w:pPr>
      <w:r>
        <w:rPr>
          <w:rFonts w:ascii="Calibri" w:hAnsi="Calibri"/>
          <w:b/>
          <w:color w:val="525866"/>
          <w:sz w:val="22"/>
        </w:rPr>
        <w:t xml:space="preserve">May 5, 2026 — Q1 2026 Earnings (First as New Aptiv): </w:t>
      </w:r>
      <w:r>
        <w:rPr>
          <w:rFonts w:ascii="Calibri" w:hAnsi="Calibri"/>
          <w:color w:val="525866"/>
          <w:sz w:val="22"/>
        </w:rPr>
        <w:t>Beat on both EPS ($1.71 vs. $1.60 consensus) and revenue ($3.07B vs. $3.02B consensus). Full-year guidance maintained despite commodity headwinds coming in 60bps above forecast. Versigent spin-off confirmed complete as of April 1, 2026. Stranded costs of $70M annualized on day one, targeting full elimination by end of 2027.</w:t>
      </w:r>
    </w:p>
    <w:p>
      <w:pPr>
        <w:pStyle w:val="ListBullet"/>
        <w:ind w:left="360" w:hanging="360"/>
      </w:pPr>
      <w:r>
        <w:rPr>
          <w:rFonts w:ascii="Calibri" w:hAnsi="Calibri"/>
          <w:b/>
          <w:color w:val="525866"/>
          <w:sz w:val="22"/>
        </w:rPr>
        <w:t xml:space="preserve">May 5, 2026 — Comau Robotics Partnership Confirmed: </w:t>
      </w:r>
      <w:r>
        <w:rPr>
          <w:rFonts w:ascii="Calibri" w:hAnsi="Calibri"/>
          <w:color w:val="525866"/>
          <w:sz w:val="22"/>
        </w:rPr>
        <w:t>Third robotics partnership (after Robust.AI and Vecna Robotics) focused on AMRs, cobots, and AI-enabled warehouse/logistics automation. Management clarified preference for AMRs over humanoids given technology maturity. Commercial robotics awards expected to be announced in H2 2026, with revenue beginning late 2026 or early 2027.</w:t>
      </w:r>
    </w:p>
    <w:p>
      <w:pPr>
        <w:pStyle w:val="ListBullet"/>
        <w:ind w:left="360" w:hanging="360"/>
      </w:pPr>
      <w:r>
        <w:rPr>
          <w:rFonts w:ascii="Calibri" w:hAnsi="Calibri"/>
          <w:b/>
          <w:color w:val="525866"/>
          <w:sz w:val="22"/>
        </w:rPr>
        <w:t xml:space="preserve">April 1, 2026 — Versigent Spin-Off Completed: </w:t>
      </w:r>
      <w:r>
        <w:rPr>
          <w:rFonts w:ascii="Calibri" w:hAnsi="Calibri"/>
          <w:color w:val="525866"/>
          <w:sz w:val="22"/>
        </w:rPr>
        <w:t>EDS business formally separated. New Aptiv begins operating as a standalone industrial technology company. Annualized stranded costs of $70M identified on day one, with target to fully eliminate by end of 2027.</w:t>
      </w:r>
    </w:p>
    <w:p>
      <w:pPr>
        <w:pStyle w:val="ListBullet"/>
        <w:ind w:left="360" w:hanging="360"/>
      </w:pPr>
      <w:r>
        <w:rPr>
          <w:rFonts w:ascii="Calibri" w:hAnsi="Calibri"/>
          <w:b/>
          <w:color w:val="525866"/>
          <w:sz w:val="22"/>
        </w:rPr>
        <w:t xml:space="preserve">April 6, 2026 — $1.37B Debt Tender Offer Completed: </w:t>
      </w:r>
      <w:r>
        <w:rPr>
          <w:rFonts w:ascii="Calibri" w:hAnsi="Calibri"/>
          <w:color w:val="525866"/>
          <w:sz w:val="22"/>
        </w:rPr>
        <w:t>Post-spin capital structure optimization. Aptiv completed a $1.37B debt tender offer, reducing leverage and improving the standalone balance sheet.</w:t>
      </w:r>
    </w:p>
    <w:p>
      <w:pPr>
        <w:pStyle w:val="ListBullet"/>
        <w:ind w:left="360" w:hanging="360"/>
      </w:pPr>
      <w:r>
        <w:rPr>
          <w:rFonts w:ascii="Calibri" w:hAnsi="Calibri"/>
          <w:b/>
          <w:color w:val="525866"/>
          <w:sz w:val="22"/>
        </w:rPr>
        <w:t xml:space="preserve">March 16, 2026 — Executive Departure: </w:t>
      </w:r>
      <w:r>
        <w:rPr>
          <w:rFonts w:ascii="Calibri" w:hAnsi="Calibri"/>
          <w:color w:val="525866"/>
          <w:sz w:val="22"/>
        </w:rPr>
        <w:t xml:space="preserve">Javed Khan (EVP) departed for CEO role at a software and AI company. No replacement announced. </w:t>
      </w:r>
      <w:r>
        <w:rPr>
          <w:rFonts w:ascii="Calibri" w:hAnsi="Calibri"/>
          <w:i/>
          <w:color w:val="525866"/>
          <w:sz w:val="22"/>
        </w:rPr>
        <w:t xml:space="preserve">Implication: </w:t>
      </w:r>
      <w:r>
        <w:rPr>
          <w:rFonts w:ascii="Calibri" w:hAnsi="Calibri"/>
          <w:i/>
          <w:color w:val="525866"/>
          <w:sz w:val="22"/>
        </w:rPr>
        <w:t>Minor near-term management continuity risk.</w:t>
      </w:r>
    </w:p>
    <w:p>
      <w:pPr>
        <w:pStyle w:val="ListBullet"/>
        <w:ind w:left="360" w:hanging="360"/>
      </w:pPr>
      <w:r>
        <w:rPr>
          <w:rFonts w:ascii="Calibri" w:hAnsi="Calibri"/>
          <w:b/>
          <w:color w:val="525866"/>
          <w:sz w:val="22"/>
        </w:rPr>
        <w:t xml:space="preserve">Analyst Activity (post-Q1): </w:t>
      </w:r>
      <w:r>
        <w:rPr>
          <w:rFonts w:ascii="Calibri" w:hAnsi="Calibri"/>
          <w:color w:val="525866"/>
          <w:sz w:val="22"/>
        </w:rPr>
        <w:t>Morgan Stanley upgraded to Overweight ($71 PT, May 8); Evercore cut PT from $100 to $80 (May 5, Outperform); UBS cut PT from $97 to $80 (April 2, Buy); Argus cut PT from $99 to $69 (May 27, Buy); Wells Fargo cut PT from $82 to $77 (June 25, Overweight); RBC raised PT from $81 to $90 (July 13, Outperform); Zacks upgraded from Strong Sell to Hold (July 10). Consensus remains Moderate Buy with $82.50 average PT.</w:t>
      </w:r>
    </w:p>
    <w:p>
      <w:pPr>
        <w:pStyle w:val="ListBullet"/>
        <w:ind w:left="360" w:hanging="360"/>
      </w:pPr>
      <w:r>
        <w:rPr>
          <w:rFonts w:ascii="Calibri" w:hAnsi="Calibri"/>
          <w:b/>
          <w:color w:val="525866"/>
          <w:sz w:val="22"/>
        </w:rPr>
        <w:t xml:space="preserve">Lobbying Activity: </w:t>
      </w:r>
      <w:r>
        <w:rPr>
          <w:rFonts w:ascii="Calibri" w:hAnsi="Calibri"/>
          <w:color w:val="525866"/>
          <w:sz w:val="22"/>
        </w:rPr>
        <w:t>APTV disclosed a $100,000 lobbying effort in Q2 2026 focused on USMCA review, Section 232 tariffs, and trade policy — underscoring the company’s active engagement on tariff risk management.</w:t>
      </w:r>
    </w:p>
    <w:p>
      <w:r>
        <w:br w:type="page"/>
      </w:r>
    </w:p>
    <w:p>
      <w:pPr>
        <w:pStyle w:val="Heading2"/>
      </w:pPr>
      <w:r>
        <w:rPr>
          <w:rFonts w:ascii="Calibri" w:hAnsi="Calibri"/>
          <w:b/>
          <w:color w:val="3B4259"/>
          <w:sz w:val="28"/>
        </w:rPr>
        <w:t>Peer Commentaries — Q2 2026 Read-Throughs</w:t>
      </w:r>
    </w:p>
    <w:p>
      <w:r>
        <w:rPr>
          <w:rFonts w:ascii="Calibri" w:hAnsi="Calibri"/>
          <w:b/>
          <w:color w:val="525866"/>
          <w:sz w:val="22"/>
        </w:rPr>
        <w:t xml:space="preserve">Key Takeaway: </w:t>
      </w:r>
      <w:r>
        <w:rPr>
          <w:rFonts w:ascii="Calibri" w:hAnsi="Calibri"/>
          <w:color w:val="525866"/>
          <w:sz w:val="22"/>
        </w:rPr>
        <w:t xml:space="preserve">Peers reporting Q2 2026 results paint a mixed but navigable picture for APTV — global LVP down ~2–3% with China the key drag, but North America resilient; commodity headwinds are real but manageable; and the ADAS/software-defined vehicle content growth story remains intact. The most important read-through is that </w:t>
      </w:r>
      <w:r>
        <w:rPr>
          <w:rFonts w:ascii="Calibri" w:hAnsi="Calibri"/>
          <w:b/>
          <w:color w:val="525866"/>
          <w:sz w:val="22"/>
        </w:rPr>
        <w:t>peers are raising or maintaining full-year guidance despite the volume headwinds</w:t>
      </w:r>
      <w:r>
        <w:rPr>
          <w:rFonts w:ascii="Calibri" w:hAnsi="Calibri"/>
          <w:color w:val="525866"/>
          <w:sz w:val="22"/>
        </w:rPr>
        <w:t>, suggesting the H2 recovery thesis is broadly credible.</w:t>
      </w:r>
    </w:p>
    <w:p>
      <w:r>
        <w:rPr>
          <w:rFonts w:ascii="Calibri" w:hAnsi="Calibri"/>
          <w:b/>
          <w:color w:val="525866"/>
          <w:sz w:val="22"/>
        </w:rPr>
        <w:t xml:space="preserve">Note: </w:t>
      </w:r>
      <w:r>
        <w:rPr>
          <w:rFonts w:ascii="Calibri" w:hAnsi="Calibri"/>
          <w:i/>
          <w:color w:val="525866"/>
          <w:sz w:val="22"/>
        </w:rPr>
        <w:t>Only commentary from peers’ Q2 2026 earnings calls (reported July 2026) is included below, as these reflect the same reporting period as APTV’s upcoming Q2 2026 print. Earlier Q1 2026 peer results (BWA, ADNT) are excluded as they reflect prior-quarter commentary.</w:t>
      </w:r>
    </w:p>
    <w:p>
      <w:pPr>
        <w:pStyle w:val="Heading3"/>
      </w:pPr>
      <w:r>
        <w:rPr>
          <w:rFonts w:ascii="Calibri" w:hAnsi="Calibri"/>
          <w:b/>
          <w:color w:val="3B4259"/>
          <w:sz w:val="24"/>
        </w:rPr>
        <w:t>Global Light Vehicle Production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Peer</w:t>
            </w:r>
          </w:p>
        </w:tc>
        <w:tc>
          <w:tcPr>
            <w:tcW w:type="dxa" w:w="1728"/>
          </w:tcPr>
          <w:p>
            <w:r>
              <w:rPr>
                <w:rFonts w:ascii="Calibri" w:hAnsi="Calibri"/>
                <w:b/>
                <w:sz w:val="22"/>
              </w:rPr>
              <w:t>Report Date</w:t>
            </w:r>
          </w:p>
        </w:tc>
        <w:tc>
          <w:tcPr>
            <w:tcW w:type="dxa" w:w="1728"/>
          </w:tcPr>
          <w:p>
            <w:r>
              <w:rPr>
                <w:rFonts w:ascii="Calibri" w:hAnsi="Calibri"/>
                <w:b/>
                <w:sz w:val="22"/>
              </w:rPr>
              <w:t>Q2 2026 LVP Commentary</w:t>
            </w:r>
          </w:p>
        </w:tc>
        <w:tc>
          <w:tcPr>
            <w:tcW w:type="dxa" w:w="1728"/>
          </w:tcPr>
          <w:p>
            <w:r>
              <w:rPr>
                <w:rFonts w:ascii="Calibri" w:hAnsi="Calibri"/>
                <w:b/>
                <w:sz w:val="22"/>
              </w:rPr>
              <w:t>Full-Year Guidance Action</w:t>
            </w:r>
          </w:p>
        </w:tc>
        <w:tc>
          <w:tcPr>
            <w:tcW w:type="dxa" w:w="1728"/>
          </w:tcPr>
          <w:p>
            <w:r>
              <w:rPr>
                <w:rFonts w:ascii="Calibri" w:hAnsi="Calibri"/>
                <w:b/>
                <w:sz w:val="22"/>
              </w:rPr>
              <w:t>APTV Read-Through</w:t>
            </w:r>
          </w:p>
        </w:tc>
      </w:tr>
      <w:tr>
        <w:tc>
          <w:tcPr>
            <w:tcW w:type="dxa" w:w="1728"/>
          </w:tcPr>
          <w:p>
            <w:r>
              <w:rPr>
                <w:rFonts w:ascii="Calibri" w:hAnsi="Calibri"/>
                <w:sz w:val="22"/>
              </w:rPr>
              <w:t>Magna (MGA)</w:t>
            </w:r>
          </w:p>
        </w:tc>
        <w:tc>
          <w:tcPr>
            <w:tcW w:type="dxa" w:w="1728"/>
          </w:tcPr>
          <w:p>
            <w:r>
              <w:rPr>
                <w:rFonts w:ascii="Calibri" w:hAnsi="Calibri"/>
                <w:sz w:val="22"/>
              </w:rPr>
              <w:t>July 31, 2026</w:t>
            </w:r>
          </w:p>
        </w:tc>
        <w:tc>
          <w:tcPr>
            <w:tcW w:type="dxa" w:w="1728"/>
          </w:tcPr>
          <w:p>
            <w:r>
              <w:rPr>
                <w:rFonts w:ascii="Calibri" w:hAnsi="Calibri"/>
                <w:sz w:val="22"/>
              </w:rPr>
              <w:t>Global LVP -2% weighted. NA +100K units, Europe +200K units, China -800K units. Full-year LVP expected -2% to -3%.</w:t>
            </w:r>
          </w:p>
        </w:tc>
        <w:tc>
          <w:tcPr>
            <w:tcW w:type="dxa" w:w="1728"/>
          </w:tcPr>
          <w:p>
            <w:r>
              <w:rPr>
                <w:rFonts w:ascii="Calibri" w:hAnsi="Calibri"/>
                <w:sz w:val="22"/>
              </w:rPr>
              <w:t>Raised: EBIT margin to 6.3–6.6%, EPS to $6.70–$7.30, FCF to $1.8B midpoint</w:t>
            </w:r>
          </w:p>
        </w:tc>
        <w:tc>
          <w:tcPr>
            <w:tcW w:type="dxa" w:w="1728"/>
          </w:tcPr>
          <w:p>
            <w:r>
              <w:rPr>
                <w:rFonts w:ascii="Calibri" w:hAnsi="Calibri"/>
                <w:sz w:val="22"/>
              </w:rPr>
              <w:t>Consistent with APTV’s own production assumptions. NA resilience positive for Engineered Components.</w:t>
            </w:r>
          </w:p>
        </w:tc>
      </w:tr>
      <w:tr>
        <w:tc>
          <w:tcPr>
            <w:tcW w:type="dxa" w:w="1728"/>
          </w:tcPr>
          <w:p>
            <w:r>
              <w:rPr>
                <w:rFonts w:ascii="Calibri" w:hAnsi="Calibri"/>
                <w:sz w:val="22"/>
              </w:rPr>
              <w:t>Autoliv (ALV)</w:t>
            </w:r>
          </w:p>
        </w:tc>
        <w:tc>
          <w:tcPr>
            <w:tcW w:type="dxa" w:w="1728"/>
          </w:tcPr>
          <w:p>
            <w:r>
              <w:rPr>
                <w:rFonts w:ascii="Calibri" w:hAnsi="Calibri"/>
                <w:sz w:val="22"/>
              </w:rPr>
              <w:t>July 17, 2026</w:t>
            </w:r>
          </w:p>
        </w:tc>
        <w:tc>
          <w:tcPr>
            <w:tcW w:type="dxa" w:w="1728"/>
          </w:tcPr>
          <w:p>
            <w:r>
              <w:rPr>
                <w:rFonts w:ascii="Calibri" w:hAnsi="Calibri"/>
                <w:sz w:val="22"/>
              </w:rPr>
              <w:t>Global LVP -0.3% in Q2, ~160bps better than expected in April. NA and Europe stronger than expected; China softer. Full-year LVP expected -2.5%.</w:t>
            </w:r>
          </w:p>
        </w:tc>
        <w:tc>
          <w:tcPr>
            <w:tcW w:type="dxa" w:w="1728"/>
          </w:tcPr>
          <w:p>
            <w:r>
              <w:rPr>
                <w:rFonts w:ascii="Calibri" w:hAnsi="Calibri"/>
                <w:sz w:val="22"/>
              </w:rPr>
              <w:t>Reiterated: Flat organic sales, 10.5–11% adj. operating margin</w:t>
            </w:r>
          </w:p>
        </w:tc>
        <w:tc>
          <w:tcPr>
            <w:tcW w:type="dxa" w:w="1728"/>
          </w:tcPr>
          <w:p>
            <w:r>
              <w:rPr>
                <w:rFonts w:ascii="Calibri" w:hAnsi="Calibri"/>
                <w:sz w:val="22"/>
              </w:rPr>
              <w:t>Better-than-feared Q2 LVP is a mild positive for APTV’s volume assumptions.</w:t>
            </w:r>
          </w:p>
        </w:tc>
      </w:tr>
      <w:tr>
        <w:tc>
          <w:tcPr>
            <w:tcW w:type="dxa" w:w="1728"/>
          </w:tcPr>
          <w:p>
            <w:r>
              <w:rPr>
                <w:rFonts w:ascii="Calibri" w:hAnsi="Calibri"/>
                <w:sz w:val="22"/>
              </w:rPr>
              <w:t>Gentex (GNTX)</w:t>
            </w:r>
          </w:p>
        </w:tc>
        <w:tc>
          <w:tcPr>
            <w:tcW w:type="dxa" w:w="1728"/>
          </w:tcPr>
          <w:p>
            <w:r>
              <w:rPr>
                <w:rFonts w:ascii="Calibri" w:hAnsi="Calibri"/>
                <w:sz w:val="22"/>
              </w:rPr>
              <w:t>July 24, 2026</w:t>
            </w:r>
          </w:p>
        </w:tc>
        <w:tc>
          <w:tcPr>
            <w:tcW w:type="dxa" w:w="1728"/>
          </w:tcPr>
          <w:p>
            <w:r>
              <w:rPr>
                <w:rFonts w:ascii="Calibri" w:hAnsi="Calibri"/>
                <w:sz w:val="22"/>
              </w:rPr>
              <w:t>Global LVP expected -2% in Q3 2026 and -3% for full year 2026. 2027 LVP expected relatively flat. NA strong; Europe, Japan, Korea, China all weaker.</w:t>
            </w:r>
          </w:p>
        </w:tc>
        <w:tc>
          <w:tcPr>
            <w:tcW w:type="dxa" w:w="1728"/>
          </w:tcPr>
          <w:p>
            <w:r>
              <w:rPr>
                <w:rFonts w:ascii="Calibri" w:hAnsi="Calibri"/>
                <w:sz w:val="22"/>
              </w:rPr>
              <w:t>Maintained: Revenue $2.65–$2.75B; raised gross margin to 34.5–35.5%</w:t>
            </w:r>
          </w:p>
        </w:tc>
        <w:tc>
          <w:tcPr>
            <w:tcW w:type="dxa" w:w="1728"/>
          </w:tcPr>
          <w:p>
            <w:r>
              <w:rPr>
                <w:rFonts w:ascii="Calibri" w:hAnsi="Calibri"/>
                <w:sz w:val="22"/>
              </w:rPr>
              <w:t>Flat 2027 LVP outlook relevant for APTV’s multi-year bookings conversion story.</w:t>
            </w:r>
          </w:p>
        </w:tc>
      </w:tr>
      <w:tr>
        <w:tc>
          <w:tcPr>
            <w:tcW w:type="dxa" w:w="1728"/>
          </w:tcPr>
          <w:p>
            <w:r>
              <w:rPr>
                <w:rFonts w:ascii="Calibri" w:hAnsi="Calibri"/>
                <w:sz w:val="22"/>
              </w:rPr>
              <w:t>Lear (LEA)</w:t>
            </w:r>
          </w:p>
        </w:tc>
        <w:tc>
          <w:tcPr>
            <w:tcW w:type="dxa" w:w="1728"/>
          </w:tcPr>
          <w:p>
            <w:r>
              <w:rPr>
                <w:rFonts w:ascii="Calibri" w:hAnsi="Calibri"/>
                <w:sz w:val="22"/>
              </w:rPr>
              <w:t>July 31, 2026</w:t>
            </w:r>
          </w:p>
        </w:tc>
        <w:tc>
          <w:tcPr>
            <w:tcW w:type="dxa" w:w="1728"/>
          </w:tcPr>
          <w:p>
            <w:r>
              <w:rPr>
                <w:rFonts w:ascii="Calibri" w:hAnsi="Calibri"/>
                <w:sz w:val="22"/>
              </w:rPr>
              <w:t>Global production flat in Q2 (down &lt;1% Lear-weighted). NA flat, Europe -2%, China -4%.</w:t>
            </w:r>
          </w:p>
        </w:tc>
        <w:tc>
          <w:tcPr>
            <w:tcW w:type="dxa" w:w="1728"/>
          </w:tcPr>
          <w:p>
            <w:r>
              <w:rPr>
                <w:rFonts w:ascii="Calibri" w:hAnsi="Calibri"/>
                <w:sz w:val="22"/>
              </w:rPr>
              <w:t>Raised: Revenue to $23.8B, core operating earnings to $1.14B, FCF to $640M</w:t>
            </w:r>
          </w:p>
        </w:tc>
        <w:tc>
          <w:tcPr>
            <w:tcW w:type="dxa" w:w="1728"/>
          </w:tcPr>
          <w:p>
            <w:r>
              <w:rPr>
                <w:rFonts w:ascii="Calibri" w:hAnsi="Calibri"/>
                <w:sz w:val="22"/>
              </w:rPr>
              <w:t>LEA E-Systems margin +90bps in Q2 with 155bps net performance — direct positive read-through for APTV Engineered Components.</w:t>
            </w:r>
          </w:p>
        </w:tc>
      </w:tr>
      <w:tr>
        <w:tc>
          <w:tcPr>
            <w:tcW w:type="dxa" w:w="1728"/>
          </w:tcPr>
          <w:p>
            <w:r>
              <w:rPr>
                <w:rFonts w:ascii="Calibri" w:hAnsi="Calibri"/>
                <w:sz w:val="22"/>
              </w:rPr>
              <w:t>Visteon (VC)</w:t>
            </w:r>
          </w:p>
        </w:tc>
        <w:tc>
          <w:tcPr>
            <w:tcW w:type="dxa" w:w="1728"/>
          </w:tcPr>
          <w:p>
            <w:r>
              <w:rPr>
                <w:rFonts w:ascii="Calibri" w:hAnsi="Calibri"/>
                <w:sz w:val="22"/>
              </w:rPr>
              <w:t>July 23, 2026</w:t>
            </w:r>
          </w:p>
        </w:tc>
        <w:tc>
          <w:tcPr>
            <w:tcW w:type="dxa" w:w="1728"/>
          </w:tcPr>
          <w:p>
            <w:r>
              <w:rPr>
                <w:rFonts w:ascii="Calibri" w:hAnsi="Calibri"/>
                <w:sz w:val="22"/>
              </w:rPr>
              <w:t>Customer vehicle production -5% in Q2 across all major regions.</w:t>
            </w:r>
          </w:p>
        </w:tc>
        <w:tc>
          <w:tcPr>
            <w:tcW w:type="dxa" w:w="1728"/>
          </w:tcPr>
          <w:p>
            <w:r>
              <w:rPr>
                <w:rFonts w:ascii="Calibri" w:hAnsi="Calibri"/>
                <w:sz w:val="22"/>
              </w:rPr>
              <w:t>Maintained: Sales $3.6–$3.8B (trending toward high end at $3.8B)</w:t>
            </w:r>
          </w:p>
        </w:tc>
        <w:tc>
          <w:tcPr>
            <w:tcW w:type="dxa" w:w="1728"/>
          </w:tcPr>
          <w:p>
            <w:r>
              <w:rPr>
                <w:rFonts w:ascii="Calibri" w:hAnsi="Calibri"/>
                <w:sz w:val="22"/>
              </w:rPr>
              <w:t>VC’s more severe volume decline (-5%) may reflect specific customer mix; APTV’s more diversified exposure should fare better.</w:t>
            </w:r>
          </w:p>
        </w:tc>
      </w:tr>
    </w:tbl>
    <w:p>
      <w:pPr>
        <w:pStyle w:val="Heading3"/>
      </w:pPr>
      <w:r>
        <w:rPr>
          <w:rFonts w:ascii="Calibri" w:hAnsi="Calibri"/>
          <w:b/>
          <w:color w:val="3B4259"/>
          <w:sz w:val="24"/>
        </w:rPr>
        <w:t>China Market</w:t>
      </w:r>
    </w:p>
    <w:tbl>
      <w:tblPr>
        <w:tblStyle w:val="TableGrid"/>
        <w:tblW w:type="auto" w:w="0"/>
        <w:tblLook w:firstColumn="1" w:firstRow="1" w:lastColumn="0" w:lastRow="0" w:noHBand="0" w:noVBand="1" w:val="04A0"/>
      </w:tblPr>
      <w:tblGrid>
        <w:gridCol w:w="2880"/>
        <w:gridCol w:w="2880"/>
        <w:gridCol w:w="2880"/>
      </w:tblGrid>
      <w:tr>
        <w:tc>
          <w:tcPr>
            <w:tcW w:type="dxa" w:w="2880"/>
          </w:tcPr>
          <w:p>
            <w:r>
              <w:rPr>
                <w:rFonts w:ascii="Calibri" w:hAnsi="Calibri"/>
                <w:b/>
                <w:sz w:val="22"/>
              </w:rPr>
              <w:t>Peer</w:t>
            </w:r>
          </w:p>
        </w:tc>
        <w:tc>
          <w:tcPr>
            <w:tcW w:type="dxa" w:w="2880"/>
          </w:tcPr>
          <w:p>
            <w:r>
              <w:rPr>
                <w:rFonts w:ascii="Calibri" w:hAnsi="Calibri"/>
                <w:b/>
                <w:sz w:val="22"/>
              </w:rPr>
              <w:t>Key China Commentary</w:t>
            </w:r>
          </w:p>
        </w:tc>
        <w:tc>
          <w:tcPr>
            <w:tcW w:type="dxa" w:w="2880"/>
          </w:tcPr>
          <w:p>
            <w:r>
              <w:rPr>
                <w:rFonts w:ascii="Calibri" w:hAnsi="Calibri"/>
                <w:b/>
                <w:sz w:val="22"/>
              </w:rPr>
              <w:t>APTV Read-Through</w:t>
            </w:r>
          </w:p>
        </w:tc>
      </w:tr>
      <w:tr>
        <w:tc>
          <w:tcPr>
            <w:tcW w:type="dxa" w:w="2880"/>
          </w:tcPr>
          <w:p>
            <w:r>
              <w:rPr>
                <w:rFonts w:ascii="Calibri" w:hAnsi="Calibri"/>
                <w:sz w:val="22"/>
              </w:rPr>
              <w:t>Magna (MGA)</w:t>
            </w:r>
          </w:p>
        </w:tc>
        <w:tc>
          <w:tcPr>
            <w:tcW w:type="dxa" w:w="2880"/>
          </w:tcPr>
          <w:p>
            <w:r>
              <w:rPr>
                <w:rFonts w:ascii="Calibri" w:hAnsi="Calibri"/>
                <w:sz w:val="22"/>
              </w:rPr>
              <w:t>Revenue now ~65% with Chinese OEMs (vs. predominantly Western OEMs 10–15 years ago). Cut China production estimate by 800K units.</w:t>
            </w:r>
          </w:p>
        </w:tc>
        <w:tc>
          <w:tcPr>
            <w:tcW w:type="dxa" w:w="2880"/>
          </w:tcPr>
          <w:p>
            <w:r>
              <w:rPr>
                <w:rFonts w:ascii="Calibri" w:hAnsi="Calibri"/>
                <w:sz w:val="22"/>
              </w:rPr>
              <w:t>Validates APTV’s strategy of deepening engagement with top-10 local Chinese OEMs. Mix shift to domestic OEMs is a structural trend APTV is actively navigating.</w:t>
            </w:r>
          </w:p>
        </w:tc>
      </w:tr>
      <w:tr>
        <w:tc>
          <w:tcPr>
            <w:tcW w:type="dxa" w:w="2880"/>
          </w:tcPr>
          <w:p>
            <w:r>
              <w:rPr>
                <w:rFonts w:ascii="Calibri" w:hAnsi="Calibri"/>
                <w:sz w:val="22"/>
              </w:rPr>
              <w:t>Autoliv (ALV)</w:t>
            </w:r>
          </w:p>
        </w:tc>
        <w:tc>
          <w:tcPr>
            <w:tcW w:type="dxa" w:w="2880"/>
          </w:tcPr>
          <w:p>
            <w:r>
              <w:rPr>
                <w:rFonts w:ascii="Calibri" w:hAnsi="Calibri"/>
                <w:sz w:val="22"/>
              </w:rPr>
              <w:t>Chinese OEMs = 55% of ALV’s China sales in Q2 (vs. 40% last year). Sales outperformed China LVP by &gt;40 percentage points. Signed strategic cooperation agreements with Great Wall Motor and Xpeng. S&amp;P Global now expects China LVP -5% in 2026.</w:t>
            </w:r>
          </w:p>
        </w:tc>
        <w:tc>
          <w:tcPr>
            <w:tcW w:type="dxa" w:w="2880"/>
          </w:tcPr>
          <w:p>
            <w:r>
              <w:rPr>
                <w:rFonts w:ascii="Calibri" w:hAnsi="Calibri"/>
                <w:sz w:val="22"/>
              </w:rPr>
              <w:t>Strong positive — ALV’s outperformance with Chinese OEMs validates the content growth opportunity APTV is targeting with its local ADAS stack (O-Cera SoCs, Maxieye/Horizon Robotics vision). The Leapmotor ADAS program launching in Europe is a direct analog.</w:t>
            </w:r>
          </w:p>
        </w:tc>
      </w:tr>
      <w:tr>
        <w:tc>
          <w:tcPr>
            <w:tcW w:type="dxa" w:w="2880"/>
          </w:tcPr>
          <w:p>
            <w:r>
              <w:rPr>
                <w:rFonts w:ascii="Calibri" w:hAnsi="Calibri"/>
                <w:sz w:val="22"/>
              </w:rPr>
              <w:t>Lear (LEA)</w:t>
            </w:r>
          </w:p>
        </w:tc>
        <w:tc>
          <w:tcPr>
            <w:tcW w:type="dxa" w:w="2880"/>
          </w:tcPr>
          <w:p>
            <w:r>
              <w:rPr>
                <w:rFonts w:ascii="Calibri" w:hAnsi="Calibri"/>
                <w:sz w:val="22"/>
              </w:rPr>
              <w:t>China domestic sales -20% through H1 2026. Chinese automakers supplementing weak domestic demand with export ramp. LEA expects to reach 50% of China revenue with Chinese OEMs by 2027.</w:t>
            </w:r>
          </w:p>
        </w:tc>
        <w:tc>
          <w:tcPr>
            <w:tcW w:type="dxa" w:w="2880"/>
          </w:tcPr>
          <w:p>
            <w:r>
              <w:rPr>
                <w:rFonts w:ascii="Calibri" w:hAnsi="Calibri"/>
                <w:sz w:val="22"/>
              </w:rPr>
              <w:t>Export-driven production support is consistent with APTV’s China production assumptions; domestic weakness is a known headwind already embedded in guidance.</w:t>
            </w:r>
          </w:p>
        </w:tc>
      </w:tr>
      <w:tr>
        <w:tc>
          <w:tcPr>
            <w:tcW w:type="dxa" w:w="2880"/>
          </w:tcPr>
          <w:p>
            <w:r>
              <w:rPr>
                <w:rFonts w:ascii="Calibri" w:hAnsi="Calibri"/>
                <w:sz w:val="22"/>
              </w:rPr>
              <w:t>Visteon (VC)</w:t>
            </w:r>
          </w:p>
        </w:tc>
        <w:tc>
          <w:tcPr>
            <w:tcW w:type="dxa" w:w="2880"/>
          </w:tcPr>
          <w:p>
            <w:r>
              <w:rPr>
                <w:rFonts w:ascii="Calibri" w:hAnsi="Calibri"/>
                <w:sz w:val="22"/>
              </w:rPr>
              <w:t>China value segment weak due to government policy changes; premium domestic OEM segment (smart EVs) resilient. HPC launches with Geely and Chery expected in H2 2026. AI technology in Chinese vehicles is region-specific, requiring capable suppliers who can support OEMs in different regions.</w:t>
            </w:r>
          </w:p>
        </w:tc>
        <w:tc>
          <w:tcPr>
            <w:tcW w:type="dxa" w:w="2880"/>
          </w:tcPr>
          <w:p>
            <w:r>
              <w:rPr>
                <w:rFonts w:ascii="Calibri" w:hAnsi="Calibri"/>
                <w:sz w:val="22"/>
              </w:rPr>
              <w:t>Bifurcation between value and premium segments directly relevant to APTV’s ADAS strategy (focused on premium/tech-forward domestic OEMs like Leapmotor). Region-specific AI software dynamic supports APTV’s local technology partner strategy (O-Cera, Maxieye, Horizon Robotics) as a competitive moat.</w:t>
            </w:r>
          </w:p>
        </w:tc>
      </w:tr>
    </w:tbl>
    <w:p>
      <w:pPr>
        <w:pStyle w:val="Heading3"/>
      </w:pPr>
      <w:r>
        <w:rPr>
          <w:rFonts w:ascii="Calibri" w:hAnsi="Calibri"/>
          <w:b/>
          <w:color w:val="3B4259"/>
          <w:sz w:val="24"/>
        </w:rPr>
        <w:t>Commodity Costs, DRAM &amp; Tariffs</w:t>
      </w:r>
    </w:p>
    <w:tbl>
      <w:tblPr>
        <w:tblStyle w:val="TableGrid"/>
        <w:tblW w:type="auto" w:w="0"/>
        <w:tblLook w:firstColumn="1" w:firstRow="1" w:lastColumn="0" w:lastRow="0" w:noHBand="0" w:noVBand="1" w:val="04A0"/>
      </w:tblPr>
      <w:tblGrid>
        <w:gridCol w:w="2880"/>
        <w:gridCol w:w="2880"/>
        <w:gridCol w:w="2880"/>
      </w:tblGrid>
      <w:tr>
        <w:tc>
          <w:tcPr>
            <w:tcW w:type="dxa" w:w="2880"/>
          </w:tcPr>
          <w:p>
            <w:r>
              <w:rPr>
                <w:rFonts w:ascii="Calibri" w:hAnsi="Calibri"/>
                <w:b/>
                <w:sz w:val="22"/>
              </w:rPr>
              <w:t>Peer</w:t>
            </w:r>
          </w:p>
        </w:tc>
        <w:tc>
          <w:tcPr>
            <w:tcW w:type="dxa" w:w="2880"/>
          </w:tcPr>
          <w:p>
            <w:r>
              <w:rPr>
                <w:rFonts w:ascii="Calibri" w:hAnsi="Calibri"/>
                <w:b/>
                <w:sz w:val="22"/>
              </w:rPr>
              <w:t>Key Commentary</w:t>
            </w:r>
          </w:p>
        </w:tc>
        <w:tc>
          <w:tcPr>
            <w:tcW w:type="dxa" w:w="2880"/>
          </w:tcPr>
          <w:p>
            <w:r>
              <w:rPr>
                <w:rFonts w:ascii="Calibri" w:hAnsi="Calibri"/>
                <w:b/>
                <w:sz w:val="22"/>
              </w:rPr>
              <w:t>APTV Read-Through</w:t>
            </w:r>
          </w:p>
        </w:tc>
      </w:tr>
      <w:tr>
        <w:tc>
          <w:tcPr>
            <w:tcW w:type="dxa" w:w="2880"/>
          </w:tcPr>
          <w:p>
            <w:r>
              <w:rPr>
                <w:rFonts w:ascii="Calibri" w:hAnsi="Calibri"/>
                <w:sz w:val="22"/>
              </w:rPr>
              <w:t>Magna (MGA)</w:t>
            </w:r>
          </w:p>
        </w:tc>
        <w:tc>
          <w:tcPr>
            <w:tcW w:type="dxa" w:w="2880"/>
          </w:tcPr>
          <w:p>
            <w:r>
              <w:rPr>
                <w:rFonts w:ascii="Calibri" w:hAnsi="Calibri"/>
                <w:sz w:val="22"/>
              </w:rPr>
              <w:t>"Modest incremental cost headwinds across several key commodities" for balance of year. DRAM monitoring for electronics group — "modest unrecovered cost headwind in H2" included in outlook. Net tariff headwind for FY 2026 expected similar to 2025 (relatively neutral margin impact).</w:t>
            </w:r>
          </w:p>
        </w:tc>
        <w:tc>
          <w:tcPr>
            <w:tcW w:type="dxa" w:w="2880"/>
          </w:tcPr>
          <w:p>
            <w:r>
              <w:rPr>
                <w:rFonts w:ascii="Calibri" w:hAnsi="Calibri"/>
                <w:sz w:val="22"/>
              </w:rPr>
              <w:t>DRAM commentary directly relevant to APTV’s Wind River/Intelligent Systems segment. Tariff neutrality is a mild positive vs. APTV’s more acute commodity exposure (copper, gold, silver, resins from Middle East conflict).</w:t>
            </w:r>
          </w:p>
        </w:tc>
      </w:tr>
      <w:tr>
        <w:tc>
          <w:tcPr>
            <w:tcW w:type="dxa" w:w="2880"/>
          </w:tcPr>
          <w:p>
            <w:r>
              <w:rPr>
                <w:rFonts w:ascii="Calibri" w:hAnsi="Calibri"/>
                <w:sz w:val="22"/>
              </w:rPr>
              <w:t>Autoliv (ALV)</w:t>
            </w:r>
          </w:p>
        </w:tc>
        <w:tc>
          <w:tcPr>
            <w:tcW w:type="dxa" w:w="2880"/>
          </w:tcPr>
          <w:p>
            <w:r>
              <w:rPr>
                <w:rFonts w:ascii="Calibri" w:hAnsi="Calibri"/>
                <w:sz w:val="22"/>
              </w:rPr>
              <w:t>Full-year gross raw material headwind ~$110M. Higher helium prices a specific headwind. Tariff recovery rate ~83% in Q2 (78% YTD). 2-quarter lag in passing through costs from supply chain.</w:t>
            </w:r>
          </w:p>
        </w:tc>
        <w:tc>
          <w:tcPr>
            <w:tcW w:type="dxa" w:w="2880"/>
          </w:tcPr>
          <w:p>
            <w:r>
              <w:rPr>
                <w:rFonts w:ascii="Calibri" w:hAnsi="Calibri"/>
                <w:sz w:val="22"/>
              </w:rPr>
              <w:t>Commodity headwind magnitude and recovery dynamics broadly consistent with APTV’s guidance. The 2-quarter lag in customer recoveries is a shared industry dynamic that supports APTV’s H2 recovery thesis.</w:t>
            </w:r>
          </w:p>
        </w:tc>
      </w:tr>
      <w:tr>
        <w:tc>
          <w:tcPr>
            <w:tcW w:type="dxa" w:w="2880"/>
          </w:tcPr>
          <w:p>
            <w:r>
              <w:rPr>
                <w:rFonts w:ascii="Calibri" w:hAnsi="Calibri"/>
                <w:sz w:val="22"/>
              </w:rPr>
              <w:t>Gentex (GNTX)</w:t>
            </w:r>
          </w:p>
        </w:tc>
        <w:tc>
          <w:tcPr>
            <w:tcW w:type="dxa" w:w="2880"/>
          </w:tcPr>
          <w:p>
            <w:r>
              <w:rPr>
                <w:rFonts w:ascii="Calibri" w:hAnsi="Calibri"/>
                <w:sz w:val="22"/>
              </w:rPr>
              <w:t>Electronic component shortages and higher precious metals costs flagged as H2 headwinds. ~$38M of IIPA tariff reimbursements received in Q2 (boosted gross margin ~$18M). Precious metals (gold, silver) a specific headwind.</w:t>
            </w:r>
          </w:p>
        </w:tc>
        <w:tc>
          <w:tcPr>
            <w:tcW w:type="dxa" w:w="2880"/>
          </w:tcPr>
          <w:p>
            <w:r>
              <w:rPr>
                <w:rFonts w:ascii="Calibri" w:hAnsi="Calibri"/>
                <w:sz w:val="22"/>
              </w:rPr>
              <w:t>Electronic component shortages are a potential headwind for APTV’s Intelligent Systems segment. Precious metals (gold, silver) are directly in APTV’s commodity basket — GNTX’s experience validates the headwind APTV has flagged.</w:t>
            </w:r>
          </w:p>
        </w:tc>
      </w:tr>
      <w:tr>
        <w:tc>
          <w:tcPr>
            <w:tcW w:type="dxa" w:w="2880"/>
          </w:tcPr>
          <w:p>
            <w:r>
              <w:rPr>
                <w:rFonts w:ascii="Calibri" w:hAnsi="Calibri"/>
                <w:sz w:val="22"/>
              </w:rPr>
              <w:t>Visteon (VC)</w:t>
            </w:r>
          </w:p>
        </w:tc>
        <w:tc>
          <w:tcPr>
            <w:tcW w:type="dxa" w:w="2880"/>
          </w:tcPr>
          <w:p>
            <w:r>
              <w:rPr>
                <w:rFonts w:ascii="Calibri" w:hAnsi="Calibri"/>
                <w:sz w:val="22"/>
              </w:rPr>
              <w:t>Memory (DRAM) cost increases ~2.5% of sales. Secured agreement with Micron for better supply assurance and price predictability. Expects 100% cost recovery from customers in 2027. 2027 described as "quite challenging" for securing sufficient memory supply.</w:t>
            </w:r>
          </w:p>
        </w:tc>
        <w:tc>
          <w:tcPr>
            <w:tcW w:type="dxa" w:w="2880"/>
          </w:tcPr>
          <w:p>
            <w:r>
              <w:rPr>
                <w:rFonts w:ascii="Calibri" w:hAnsi="Calibri"/>
                <w:sz w:val="22"/>
              </w:rPr>
              <w:t>Highly relevant — APTV’s Wind River segment uses DRAM extensively. VC’s commentary that 2027 will be "quite challenging" for memory supply aligns with APTV management’s own disclosure that 2027 DRAM prices will be "significantly higher" and will be passed through via back-to-back customer commitments.</w:t>
            </w:r>
          </w:p>
        </w:tc>
      </w:tr>
    </w:tbl>
    <w:p>
      <w:pPr>
        <w:pStyle w:val="Heading3"/>
      </w:pPr>
      <w:r>
        <w:rPr>
          <w:rFonts w:ascii="Calibri" w:hAnsi="Calibri"/>
          <w:b/>
          <w:color w:val="3B4259"/>
          <w:sz w:val="24"/>
        </w:rPr>
        <w:t>ADAS &amp; Software-Defined Vehicle Content</w:t>
      </w:r>
    </w:p>
    <w:tbl>
      <w:tblPr>
        <w:tblStyle w:val="TableGrid"/>
        <w:tblW w:type="auto" w:w="0"/>
        <w:tblLook w:firstColumn="1" w:firstRow="1" w:lastColumn="0" w:lastRow="0" w:noHBand="0" w:noVBand="1" w:val="04A0"/>
      </w:tblPr>
      <w:tblGrid>
        <w:gridCol w:w="2880"/>
        <w:gridCol w:w="2880"/>
        <w:gridCol w:w="2880"/>
      </w:tblGrid>
      <w:tr>
        <w:tc>
          <w:tcPr>
            <w:tcW w:type="dxa" w:w="2880"/>
          </w:tcPr>
          <w:p>
            <w:r>
              <w:rPr>
                <w:rFonts w:ascii="Calibri" w:hAnsi="Calibri"/>
                <w:b/>
                <w:sz w:val="22"/>
              </w:rPr>
              <w:t>Peer</w:t>
            </w:r>
          </w:p>
        </w:tc>
        <w:tc>
          <w:tcPr>
            <w:tcW w:type="dxa" w:w="2880"/>
          </w:tcPr>
          <w:p>
            <w:r>
              <w:rPr>
                <w:rFonts w:ascii="Calibri" w:hAnsi="Calibri"/>
                <w:b/>
                <w:sz w:val="22"/>
              </w:rPr>
              <w:t>Key Commentary</w:t>
            </w:r>
          </w:p>
        </w:tc>
        <w:tc>
          <w:tcPr>
            <w:tcW w:type="dxa" w:w="2880"/>
          </w:tcPr>
          <w:p>
            <w:r>
              <w:rPr>
                <w:rFonts w:ascii="Calibri" w:hAnsi="Calibri"/>
                <w:b/>
                <w:sz w:val="22"/>
              </w:rPr>
              <w:t>APTV Read-Through</w:t>
            </w:r>
          </w:p>
        </w:tc>
      </w:tr>
      <w:tr>
        <w:tc>
          <w:tcPr>
            <w:tcW w:type="dxa" w:w="2880"/>
          </w:tcPr>
          <w:p>
            <w:r>
              <w:rPr>
                <w:rFonts w:ascii="Calibri" w:hAnsi="Calibri"/>
                <w:sz w:val="22"/>
              </w:rPr>
              <w:t>Magna (MGA)</w:t>
            </w:r>
          </w:p>
        </w:tc>
        <w:tc>
          <w:tcPr>
            <w:tcW w:type="dxa" w:w="2880"/>
          </w:tcPr>
          <w:p>
            <w:r>
              <w:rPr>
                <w:rFonts w:ascii="Calibri" w:hAnsi="Calibri"/>
                <w:sz w:val="22"/>
              </w:rPr>
              <w:t>Won Driver and Occupant Monitoring System program with European OEM — described as "foundational platform-level solution" supporting "scalable, software-defined vehicle architectures." Also won 800V two-speed E-drive with Chery Automotive.</w:t>
            </w:r>
          </w:p>
        </w:tc>
        <w:tc>
          <w:tcPr>
            <w:tcW w:type="dxa" w:w="2880"/>
          </w:tcPr>
          <w:p>
            <w:r>
              <w:rPr>
                <w:rFonts w:ascii="Calibri" w:hAnsi="Calibri"/>
                <w:sz w:val="22"/>
              </w:rPr>
              <w:t>Validates the ADAS content growth opportunity underpinning APTV’s Intelligent Systems bookings thesis. The 800V E-drive win with Chery is consistent with APTV’s 800V automotive incumbency (on 19 of top 20 800V platforms globally).</w:t>
            </w:r>
          </w:p>
        </w:tc>
      </w:tr>
      <w:tr>
        <w:tc>
          <w:tcPr>
            <w:tcW w:type="dxa" w:w="2880"/>
          </w:tcPr>
          <w:p>
            <w:r>
              <w:rPr>
                <w:rFonts w:ascii="Calibri" w:hAnsi="Calibri"/>
                <w:sz w:val="22"/>
              </w:rPr>
              <w:t>Gentex (GNTX)</w:t>
            </w:r>
          </w:p>
        </w:tc>
        <w:tc>
          <w:tcPr>
            <w:tcW w:type="dxa" w:w="2880"/>
          </w:tcPr>
          <w:p>
            <w:r>
              <w:rPr>
                <w:rFonts w:ascii="Calibri" w:hAnsi="Calibri"/>
                <w:sz w:val="22"/>
              </w:rPr>
              <w:t>Driver Monitoring and In-Cabin Monitoring Systems tracking in line with growth expectations. Began shipping to BMW X3 and Kia EV2. DM revenue estimated at $50–60M in 2026, ramping significantly in H2 and into 2027. Over 75% of Q2 launches included advanced features.</w:t>
            </w:r>
          </w:p>
        </w:tc>
        <w:tc>
          <w:tcPr>
            <w:tcW w:type="dxa" w:w="2880"/>
          </w:tcPr>
          <w:p>
            <w:r>
              <w:rPr>
                <w:rFonts w:ascii="Calibri" w:hAnsi="Calibri"/>
                <w:sz w:val="22"/>
              </w:rPr>
              <w:t>DM/ICMS ramp validates the ADAS content growth trajectory. APTV’s ADAS bookings (including Leapmotor European program) are part of the same secular trend. GNTX’s high single-digit market outperformance target for 2027 suggests content growth can offset LVP headwinds.</w:t>
            </w:r>
          </w:p>
        </w:tc>
      </w:tr>
      <w:tr>
        <w:tc>
          <w:tcPr>
            <w:tcW w:type="dxa" w:w="2880"/>
          </w:tcPr>
          <w:p>
            <w:r>
              <w:rPr>
                <w:rFonts w:ascii="Calibri" w:hAnsi="Calibri"/>
                <w:sz w:val="22"/>
              </w:rPr>
              <w:t>Visteon (VC)</w:t>
            </w:r>
          </w:p>
        </w:tc>
        <w:tc>
          <w:tcPr>
            <w:tcW w:type="dxa" w:w="2880"/>
          </w:tcPr>
          <w:p>
            <w:r>
              <w:rPr>
                <w:rFonts w:ascii="Calibri" w:hAnsi="Calibri"/>
                <w:sz w:val="22"/>
              </w:rPr>
              <w:t>~60% of H1 new business wins from "strategic software-defined vehicle portfolio" (Smartcore cockpit domain controllers, HPC platforms, advanced displays). AI technology in Chinese vehicles is region-specific, requiring capable suppliers who can support OEMs in different regions — "fostering longer-term relationships."</w:t>
            </w:r>
          </w:p>
        </w:tc>
        <w:tc>
          <w:tcPr>
            <w:tcW w:type="dxa" w:w="2880"/>
          </w:tcPr>
          <w:p>
            <w:r>
              <w:rPr>
                <w:rFonts w:ascii="Calibri" w:hAnsi="Calibri"/>
                <w:sz w:val="22"/>
              </w:rPr>
              <w:t>Region-specific AI software dynamic directly supports APTV’s China ADAS strategy using local technology partners (O-Cera, Maxieye, Horizon Robotics) — this is a competitive moat, not a limitation. The software-defined vehicle content shift is a structural tailwind for APTV’s Intelligent Systems segment.</w:t>
            </w:r>
          </w:p>
        </w:tc>
      </w:tr>
      <w:tr>
        <w:tc>
          <w:tcPr>
            <w:tcW w:type="dxa" w:w="2880"/>
          </w:tcPr>
          <w:p>
            <w:r>
              <w:rPr>
                <w:rFonts w:ascii="Calibri" w:hAnsi="Calibri"/>
                <w:sz w:val="22"/>
              </w:rPr>
              <w:t>Lear (LEA)</w:t>
            </w:r>
          </w:p>
        </w:tc>
        <w:tc>
          <w:tcPr>
            <w:tcW w:type="dxa" w:w="2880"/>
          </w:tcPr>
          <w:p>
            <w:r>
              <w:rPr>
                <w:rFonts w:ascii="Calibri" w:hAnsi="Calibri"/>
                <w:sz w:val="22"/>
              </w:rPr>
              <w:t>E-Systems segment margin expanded 90bps in Q2 with 155bps net performance. Over 90% of YTD business awards in E-Systems were for new or conquest programs. Significant investments in digital AI tools and automation (automated wire taping capability addressing ~20% of direct labor). Expects 40–80bps of net performance improvement in E-Systems next year.</w:t>
            </w:r>
          </w:p>
        </w:tc>
        <w:tc>
          <w:tcPr>
            <w:tcW w:type="dxa" w:w="2880"/>
          </w:tcPr>
          <w:p>
            <w:r>
              <w:rPr>
                <w:rFonts w:ascii="Calibri" w:hAnsi="Calibri"/>
                <w:sz w:val="22"/>
              </w:rPr>
              <w:t>Strong positive for APTV’s Engineered Components segment — the electrical architecture content growth and margin expansion story is playing out at LEA, validating APTV’s own margin expansion thesis. The automation investment trend is consistent with APTV’s manufacturing efficiency initiatives.</w:t>
            </w:r>
          </w:p>
        </w:tc>
      </w:tr>
    </w:tbl>
    <w:p>
      <w:r>
        <w:br w:type="page"/>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One open-market buy by a Director (</w:t>
      </w:r>
      <w:r>
        <w:rPr>
          <w:rFonts w:ascii="Calibri" w:hAnsi="Calibri"/>
          <w:b/>
          <w:color w:val="525866"/>
          <w:sz w:val="22"/>
        </w:rPr>
        <w:t>Hakan Agnevall, 6,100 shares at ~$55/share on May 8, 2026</w:t>
      </w:r>
      <w:r>
        <w:rPr>
          <w:rFonts w:ascii="Calibri" w:hAnsi="Calibri"/>
          <w:color w:val="525866"/>
          <w:sz w:val="22"/>
        </w:rPr>
        <w:t>) is a modestly positive signal — a board member buying in the open market 3 days after earnings is a constructive sign. The two executive sales were both under 10b5-1 plans (pre-scheduled), limiting their informational content.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rPr>
                <w:rFonts w:ascii="Calibri" w:hAnsi="Calibri"/>
                <w:b/>
                <w:sz w:val="22"/>
              </w:rPr>
              <w:t>Name</w:t>
            </w:r>
          </w:p>
        </w:tc>
        <w:tc>
          <w:tcPr>
            <w:tcW w:type="dxa" w:w="1234"/>
          </w:tcPr>
          <w:p>
            <w:r>
              <w:rPr>
                <w:rFonts w:ascii="Calibri" w:hAnsi="Calibri"/>
                <w:b/>
                <w:sz w:val="22"/>
              </w:rPr>
              <w:t>Title</w:t>
            </w:r>
          </w:p>
        </w:tc>
        <w:tc>
          <w:tcPr>
            <w:tcW w:type="dxa" w:w="1234"/>
          </w:tcPr>
          <w:p>
            <w:r>
              <w:rPr>
                <w:rFonts w:ascii="Calibri" w:hAnsi="Calibri"/>
                <w:b/>
                <w:sz w:val="22"/>
              </w:rPr>
              <w:t>Transaction Type</w:t>
            </w:r>
          </w:p>
        </w:tc>
        <w:tc>
          <w:tcPr>
            <w:tcW w:type="dxa" w:w="1234"/>
          </w:tcPr>
          <w:p>
            <w:r>
              <w:rPr>
                <w:rFonts w:ascii="Calibri" w:hAnsi="Calibri"/>
                <w:b/>
                <w:sz w:val="22"/>
              </w:rPr>
              <w:t>Value</w:t>
            </w:r>
          </w:p>
        </w:tc>
        <w:tc>
          <w:tcPr>
            <w:tcW w:type="dxa" w:w="1234"/>
          </w:tcPr>
          <w:p>
            <w:r>
              <w:rPr>
                <w:rFonts w:ascii="Calibri" w:hAnsi="Calibri"/>
                <w:b/>
                <w:sz w:val="22"/>
              </w:rPr>
              <w:t>Effective Date</w:t>
            </w:r>
          </w:p>
        </w:tc>
        <w:tc>
          <w:tcPr>
            <w:tcW w:type="dxa" w:w="1234"/>
          </w:tcPr>
          <w:p>
            <w:r>
              <w:rPr>
                <w:rFonts w:ascii="Calibri" w:hAnsi="Calibri"/>
                <w:b/>
                <w:sz w:val="22"/>
              </w:rPr>
              <w:t>Disclosed Date</w:t>
            </w:r>
          </w:p>
        </w:tc>
        <w:tc>
          <w:tcPr>
            <w:tcW w:type="dxa" w:w="1234"/>
          </w:tcPr>
          <w:p>
            <w:r>
              <w:rPr>
                <w:rFonts w:ascii="Calibri" w:hAnsi="Calibri"/>
                <w:b/>
                <w:sz w:val="22"/>
              </w:rPr>
              <w:t>Note</w:t>
            </w:r>
          </w:p>
        </w:tc>
      </w:tr>
      <w:tr>
        <w:tc>
          <w:tcPr>
            <w:tcW w:type="dxa" w:w="1234"/>
          </w:tcPr>
          <w:p>
            <w:r>
              <w:rPr>
                <w:rFonts w:ascii="Calibri" w:hAnsi="Calibri"/>
                <w:sz w:val="22"/>
              </w:rPr>
              <w:t>Hakan Agnevall</w:t>
            </w:r>
          </w:p>
        </w:tc>
        <w:tc>
          <w:tcPr>
            <w:tcW w:type="dxa" w:w="1234"/>
          </w:tcPr>
          <w:p>
            <w:r>
              <w:rPr>
                <w:rFonts w:ascii="Calibri" w:hAnsi="Calibri"/>
                <w:sz w:val="22"/>
              </w:rPr>
              <w:t>Director</w:t>
            </w:r>
          </w:p>
        </w:tc>
        <w:tc>
          <w:tcPr>
            <w:tcW w:type="dxa" w:w="1234"/>
          </w:tcPr>
          <w:p>
            <w:r>
              <w:rPr>
                <w:rFonts w:ascii="Calibri" w:hAnsi="Calibri"/>
                <w:b/>
                <w:color w:val="30A46C"/>
                <w:sz w:val="22"/>
              </w:rPr>
              <w:t>Open Market Buy</w:t>
            </w:r>
          </w:p>
        </w:tc>
        <w:tc>
          <w:tcPr>
            <w:tcW w:type="dxa" w:w="1234"/>
          </w:tcPr>
          <w:p>
            <w:r>
              <w:rPr>
                <w:rFonts w:ascii="Calibri" w:hAnsi="Calibri"/>
                <w:sz w:val="22"/>
              </w:rPr>
              <w:t>~$336K (6,100 shares)</w:t>
            </w:r>
          </w:p>
        </w:tc>
        <w:tc>
          <w:tcPr>
            <w:tcW w:type="dxa" w:w="1234"/>
          </w:tcPr>
          <w:p>
            <w:r>
              <w:rPr>
                <w:rFonts w:ascii="Calibri" w:hAnsi="Calibri"/>
                <w:sz w:val="22"/>
              </w:rPr>
              <w:t>May 8, 2026</w:t>
            </w:r>
          </w:p>
        </w:tc>
        <w:tc>
          <w:tcPr>
            <w:tcW w:type="dxa" w:w="1234"/>
          </w:tcPr>
          <w:p>
            <w:r>
              <w:rPr>
                <w:rFonts w:ascii="Calibri" w:hAnsi="Calibri"/>
                <w:sz w:val="22"/>
              </w:rPr>
              <w:t>May 12, 2026</w:t>
            </w:r>
          </w:p>
        </w:tc>
        <w:tc>
          <w:tcPr>
            <w:tcW w:type="dxa" w:w="1234"/>
          </w:tcPr>
          <w:p>
            <w:r>
              <w:rPr>
                <w:rFonts w:ascii="Calibri" w:hAnsi="Calibri"/>
                <w:sz w:val="22"/>
              </w:rPr>
              <w:t>Non-10b5-1; constructive signal — board member buying 3 days post-Q1 earnings at ~$55/share, well below $82.50 consensus PT</w:t>
            </w:r>
          </w:p>
        </w:tc>
      </w:tr>
      <w:tr>
        <w:tc>
          <w:tcPr>
            <w:tcW w:type="dxa" w:w="1234"/>
          </w:tcPr>
          <w:p>
            <w:r>
              <w:rPr>
                <w:rFonts w:ascii="Calibri" w:hAnsi="Calibri"/>
                <w:sz w:val="22"/>
              </w:rPr>
              <w:t>Katherine H. Ramundo</w:t>
            </w:r>
          </w:p>
        </w:tc>
        <w:tc>
          <w:tcPr>
            <w:tcW w:type="dxa" w:w="1234"/>
          </w:tcPr>
          <w:p>
            <w:r>
              <w:rPr>
                <w:rFonts w:ascii="Calibri" w:hAnsi="Calibri"/>
                <w:sz w:val="22"/>
              </w:rPr>
              <w:t>EVP, CLO, CCO &amp; Secretary</w:t>
            </w:r>
          </w:p>
        </w:tc>
        <w:tc>
          <w:tcPr>
            <w:tcW w:type="dxa" w:w="1234"/>
          </w:tcPr>
          <w:p>
            <w:r>
              <w:rPr>
                <w:rFonts w:ascii="Calibri" w:hAnsi="Calibri"/>
                <w:sz w:val="22"/>
              </w:rPr>
              <w:t>10b5-1 Planned Sale</w:t>
            </w:r>
          </w:p>
        </w:tc>
        <w:tc>
          <w:tcPr>
            <w:tcW w:type="dxa" w:w="1234"/>
          </w:tcPr>
          <w:p>
            <w:r>
              <w:rPr>
                <w:rFonts w:ascii="Calibri" w:hAnsi="Calibri"/>
                <w:sz w:val="22"/>
              </w:rPr>
              <w:t>~$116K (2,000 shares)</w:t>
            </w:r>
          </w:p>
        </w:tc>
        <w:tc>
          <w:tcPr>
            <w:tcW w:type="dxa" w:w="1234"/>
          </w:tcPr>
          <w:p>
            <w:r>
              <w:rPr>
                <w:rFonts w:ascii="Calibri" w:hAnsi="Calibri"/>
                <w:sz w:val="22"/>
              </w:rPr>
              <w:t>June 3, 2026</w:t>
            </w:r>
          </w:p>
        </w:tc>
        <w:tc>
          <w:tcPr>
            <w:tcW w:type="dxa" w:w="1234"/>
          </w:tcPr>
          <w:p>
            <w:r>
              <w:rPr>
                <w:rFonts w:ascii="Calibri" w:hAnsi="Calibri"/>
                <w:sz w:val="22"/>
              </w:rPr>
              <w:t>June 4, 2026</w:t>
            </w:r>
          </w:p>
        </w:tc>
        <w:tc>
          <w:tcPr>
            <w:tcW w:type="dxa" w:w="1234"/>
          </w:tcPr>
          <w:p>
            <w:r>
              <w:rPr>
                <w:rFonts w:ascii="Calibri" w:hAnsi="Calibri"/>
                <w:sz w:val="22"/>
              </w:rPr>
              <w:t>Pre-scheduled 10b5-1 plan; limited informational content</w:t>
            </w:r>
          </w:p>
        </w:tc>
      </w:tr>
      <w:tr>
        <w:tc>
          <w:tcPr>
            <w:tcW w:type="dxa" w:w="1234"/>
          </w:tcPr>
          <w:p>
            <w:r>
              <w:rPr>
                <w:rFonts w:ascii="Calibri" w:hAnsi="Calibri"/>
                <w:sz w:val="22"/>
              </w:rPr>
              <w:t>Obed D. Louissaint</w:t>
            </w:r>
          </w:p>
        </w:tc>
        <w:tc>
          <w:tcPr>
            <w:tcW w:type="dxa" w:w="1234"/>
          </w:tcPr>
          <w:p>
            <w:r>
              <w:rPr>
                <w:rFonts w:ascii="Calibri" w:hAnsi="Calibri"/>
                <w:sz w:val="22"/>
              </w:rPr>
              <w:t>EVP &amp; Chief People Officer</w:t>
            </w:r>
          </w:p>
        </w:tc>
        <w:tc>
          <w:tcPr>
            <w:tcW w:type="dxa" w:w="1234"/>
          </w:tcPr>
          <w:p>
            <w:r>
              <w:rPr>
                <w:rFonts w:ascii="Calibri" w:hAnsi="Calibri"/>
                <w:sz w:val="22"/>
              </w:rPr>
              <w:t>10b5-1 Planned Sale</w:t>
            </w:r>
          </w:p>
        </w:tc>
        <w:tc>
          <w:tcPr>
            <w:tcW w:type="dxa" w:w="1234"/>
          </w:tcPr>
          <w:p>
            <w:r>
              <w:rPr>
                <w:rFonts w:ascii="Calibri" w:hAnsi="Calibri"/>
                <w:sz w:val="22"/>
              </w:rPr>
              <w:t>~$174K (3,000 shares)</w:t>
            </w:r>
          </w:p>
        </w:tc>
        <w:tc>
          <w:tcPr>
            <w:tcW w:type="dxa" w:w="1234"/>
          </w:tcPr>
          <w:p>
            <w:r>
              <w:rPr>
                <w:rFonts w:ascii="Calibri" w:hAnsi="Calibri"/>
                <w:sz w:val="22"/>
              </w:rPr>
              <w:t>June 15, 2026</w:t>
            </w:r>
          </w:p>
        </w:tc>
        <w:tc>
          <w:tcPr>
            <w:tcW w:type="dxa" w:w="1234"/>
          </w:tcPr>
          <w:p>
            <w:r>
              <w:rPr>
                <w:rFonts w:ascii="Calibri" w:hAnsi="Calibri"/>
                <w:sz w:val="22"/>
              </w:rPr>
              <w:t>June 16, 2026</w:t>
            </w:r>
          </w:p>
        </w:tc>
        <w:tc>
          <w:tcPr>
            <w:tcW w:type="dxa" w:w="1234"/>
          </w:tcPr>
          <w:p>
            <w:r>
              <w:rPr>
                <w:rFonts w:ascii="Calibri" w:hAnsi="Calibri"/>
                <w:sz w:val="22"/>
              </w:rPr>
              <w:t>Pre-scheduled 10b5-1 plan; limited informational content</w:t>
            </w:r>
          </w:p>
        </w:tc>
      </w:tr>
    </w:tbl>
    <w:p>
      <w:r>
        <w:rPr>
          <w:rFonts w:ascii="Calibri" w:hAnsi="Calibri"/>
          <w:b/>
          <w:color w:val="525866"/>
          <w:sz w:val="22"/>
        </w:rPr>
        <w:t xml:space="preserve">Overall: </w:t>
      </w:r>
      <w:r>
        <w:rPr>
          <w:rFonts w:ascii="Calibri" w:hAnsi="Calibri"/>
          <w:color w:val="525866"/>
          <w:sz w:val="22"/>
        </w:rPr>
        <w:t>The insider picture is modestly constructive. The Director buy is the only open-market transaction and occurred at prices (~$55) well below the current analyst consensus target of $82.50. No C-suite open-market selling was observed. The absence of any large discretionary sales by the CEO or CFO heading into Q2 earnings is a neutral-to-positive signal.</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