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Aptiv plc (APTV)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Aptiv plc</w:t>
            </w:r>
          </w:p>
        </w:tc>
      </w:tr>
      <w:tr>
        <w:tc>
          <w:tcPr>
            <w:tcW w:type="dxa" w:w="4320"/>
          </w:tcPr>
          <w:p>
            <w:r>
              <w:rPr>
                <w:rFonts w:ascii="Calibri" w:hAnsi="Calibri"/>
                <w:b/>
                <w:sz w:val="22"/>
              </w:rPr>
              <w:t>Ticker</w:t>
            </w:r>
          </w:p>
        </w:tc>
        <w:tc>
          <w:tcPr>
            <w:tcW w:type="dxa" w:w="4320"/>
          </w:tcPr>
          <w:p>
            <w:r>
              <w:rPr>
                <w:rFonts w:ascii="Calibri" w:hAnsi="Calibri"/>
                <w:sz w:val="22"/>
              </w:rPr>
              <w:t>APTV US</w:t>
            </w:r>
          </w:p>
        </w:tc>
      </w:tr>
      <w:tr>
        <w:tc>
          <w:tcPr>
            <w:tcW w:type="dxa" w:w="4320"/>
          </w:tcPr>
          <w:p>
            <w:r>
              <w:rPr>
                <w:rFonts w:ascii="Calibri" w:hAnsi="Calibri"/>
                <w:b/>
                <w:sz w:val="22"/>
              </w:rPr>
              <w:t>Reporting Period</w:t>
            </w:r>
          </w:p>
        </w:tc>
        <w:tc>
          <w:tcPr>
            <w:tcW w:type="dxa" w:w="4320"/>
          </w:tcPr>
          <w:p>
            <w:r>
              <w:rPr>
                <w:rFonts w:ascii="Calibri" w:hAnsi="Calibri"/>
                <w:sz w:val="22"/>
              </w:rPr>
              <w:t>Q2 2026 (April 1 –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 8:00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 Sub-Sector</w:t>
            </w:r>
          </w:p>
        </w:tc>
        <w:tc>
          <w:tcPr>
            <w:tcW w:type="dxa" w:w="4320"/>
          </w:tcPr>
          <w:p>
            <w:r>
              <w:rPr>
                <w:rFonts w:ascii="Calibri" w:hAnsi="Calibri"/>
                <w:sz w:val="22"/>
              </w:rPr>
              <w:t>Consumer Discretionary / Auto Parts &amp; Equipment</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has been revised down materially since Q1 earnings, creating a low bar, but the key swing factor is whether the promised H2 revenue acceleration is already visible in Q2 program ramp data and whether commodity headwinds have stabilized.</w:t>
      </w:r>
    </w:p>
    <w:p>
      <w:r>
        <w:rPr>
          <w:rFonts w:ascii="Calibri" w:hAnsi="Calibri"/>
          <w:color w:val="525866"/>
          <w:sz w:val="22"/>
        </w:rPr>
        <w:t xml:space="preserve">Heading into the Q2 2026 print, the bar for Aptiv (New Aptiv, post-Versigent spin) looks achievable: consensus EPS of ~$1.45 is down roughly 30% from where it stood a year ago, and revenue consensus of ~$3.32B implies only ~2% growth at the midpoint — exactly in line with management's own Q2 guidance issued on May 5. </w:t>
      </w:r>
      <w:r>
        <w:rPr>
          <w:rFonts w:ascii="Calibri" w:hAnsi="Calibri"/>
          <w:b/>
          <w:color w:val="525866"/>
          <w:sz w:val="22"/>
        </w:rPr>
        <w:t>Management's tone at the June 10 Wells Fargo conference was explicitly comfortable with guidance</w:t>
      </w:r>
      <w:r>
        <w:rPr>
          <w:rFonts w:ascii="Calibri" w:hAnsi="Calibri"/>
          <w:color w:val="525866"/>
          <w:sz w:val="22"/>
        </w:rPr>
        <w:t xml:space="preserve"> ("sitting here today, we're comfortable with it"), with no update to the full-year framework, suggesting the Q2 print is unlikely to produce a major negative surprise on the top line. Estimate revisions have been sharply negative since Q1 — Q2 EPS consensus fell from ~$1.42 post-print to ~$1.45 currently, while FY2026 EPS consensus sits at ~$5.93 vs. the $6.23 level at the time of Q1 earnings — reflecting the market's skepticism about the H2 acceleration thesis and ongoing commodity cost inflation (copper, gold, silver, resins) tied to the Middle East conflict. </w:t>
      </w:r>
      <w:r>
        <w:rPr>
          <w:rFonts w:ascii="Calibri" w:hAnsi="Calibri"/>
          <w:b/>
          <w:color w:val="525866"/>
          <w:sz w:val="22"/>
        </w:rPr>
        <w:t>The stock has underperformed CARZ and the S&amp;P 500 since the Q1 print</w:t>
      </w:r>
      <w:r>
        <w:rPr>
          <w:rFonts w:ascii="Calibri" w:hAnsi="Calibri"/>
          <w:color w:val="525866"/>
          <w:sz w:val="22"/>
        </w:rPr>
        <w:t xml:space="preserve"> (APTV +4.4% vs. CARZ -2.4% vs. SPY +3.2% through July 31), trading at just ~11x NTM P/E and ~7x EV/EBITDA — deeply discounted to history — suggesting the market has already priced in significant execution risk. The wildcard is the Q2 China revenue inflection: management guided China to turn positive in Q2 as three cancelled programs anniversary at mid-year, and any evidence of that inflection — combined with early robotics/non-auto commercial award announcements — could be the catalyst for a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both revenue (~$3.32B, +2% YoY) and EPS (~$1.45), in line with management's own Q2 guidance midpoints. </w:t>
      </w:r>
      <w:r>
        <w:rPr>
          <w:rFonts w:ascii="Calibri" w:hAnsi="Calibri"/>
          <w:b/>
          <w:color w:val="525866"/>
          <w:sz w:val="22"/>
        </w:rPr>
        <w:t>EBITDA margin is the bigger swing factor</w:t>
      </w:r>
      <w:r>
        <w:rPr>
          <w:rFonts w:ascii="Calibri" w:hAnsi="Calibri"/>
          <w:color w:val="525866"/>
          <w:sz w:val="22"/>
        </w:rPr>
        <w:t xml:space="preserve"> — consensus at ~17.6% implies meaningful sequential compression vs. Q1's 17.9%, and any commodity cost surprise (up or down) will drive the outcome.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$3.068B</w:t>
            </w:r>
          </w:p>
        </w:tc>
        <w:tc>
          <w:tcPr>
            <w:tcW w:type="dxa" w:w="1234"/>
          </w:tcPr>
          <w:p>
            <w:r>
              <w:rPr>
                <w:rFonts w:ascii="Calibri" w:hAnsi="Calibri"/>
                <w:sz w:val="22"/>
              </w:rPr>
              <w:t>$3.207B</w:t>
            </w:r>
          </w:p>
        </w:tc>
        <w:tc>
          <w:tcPr>
            <w:tcW w:type="dxa" w:w="1234"/>
          </w:tcPr>
          <w:p>
            <w:r>
              <w:rPr>
                <w:rFonts w:ascii="Calibri" w:hAnsi="Calibri"/>
                <w:sz w:val="22"/>
              </w:rPr>
              <w:t>$3.317B</w:t>
            </w:r>
          </w:p>
        </w:tc>
        <w:tc>
          <w:tcPr>
            <w:tcW w:type="dxa" w:w="1234"/>
          </w:tcPr>
          <w:p>
            <w:r>
              <w:rPr>
                <w:rFonts w:ascii="Calibri" w:hAnsi="Calibri"/>
                <w:sz w:val="22"/>
              </w:rPr>
              <w:t>+3.4%</w:t>
            </w:r>
          </w:p>
        </w:tc>
        <w:tc>
          <w:tcPr>
            <w:tcW w:type="dxa" w:w="1234"/>
          </w:tcPr>
          <w:p>
            <w:r>
              <w:rPr>
                <w:rFonts w:ascii="Calibri" w:hAnsi="Calibri"/>
                <w:sz w:val="22"/>
              </w:rPr>
              <w:t>~$3.30B (2% growth)</w:t>
            </w:r>
          </w:p>
        </w:tc>
        <w:tc>
          <w:tcPr>
            <w:tcW w:type="dxa" w:w="1234"/>
          </w:tcPr>
          <w:p>
            <w:r>
              <w:rPr>
                <w:rFonts w:ascii="Calibri" w:hAnsi="Calibri"/>
                <w:sz w:val="22"/>
              </w:rPr>
              <w:t>+0.5%</w:t>
            </w:r>
          </w:p>
        </w:tc>
      </w:tr>
      <w:tr>
        <w:tc>
          <w:tcPr>
            <w:tcW w:type="dxa" w:w="1234"/>
          </w:tcPr>
          <w:p>
            <w:r>
              <w:rPr>
                <w:rFonts w:ascii="Calibri" w:hAnsi="Calibri"/>
                <w:sz w:val="22"/>
              </w:rPr>
              <w:t>Adj. Operating EPS ($)</w:t>
            </w:r>
          </w:p>
        </w:tc>
        <w:tc>
          <w:tcPr>
            <w:tcW w:type="dxa" w:w="1234"/>
          </w:tcPr>
          <w:p>
            <w:r>
              <w:rPr>
                <w:rFonts w:ascii="Calibri" w:hAnsi="Calibri"/>
                <w:sz w:val="22"/>
              </w:rPr>
              <w:t>$1.71</w:t>
            </w:r>
          </w:p>
        </w:tc>
        <w:tc>
          <w:tcPr>
            <w:tcW w:type="dxa" w:w="1234"/>
          </w:tcPr>
          <w:p>
            <w:r>
              <w:rPr>
                <w:rFonts w:ascii="Calibri" w:hAnsi="Calibri"/>
                <w:sz w:val="22"/>
              </w:rPr>
              <w:t>$2.12</w:t>
            </w:r>
          </w:p>
        </w:tc>
        <w:tc>
          <w:tcPr>
            <w:tcW w:type="dxa" w:w="1234"/>
          </w:tcPr>
          <w:p>
            <w:r>
              <w:rPr>
                <w:rFonts w:ascii="Calibri" w:hAnsi="Calibri"/>
                <w:sz w:val="22"/>
              </w:rPr>
              <w:t>$1.45</w:t>
            </w:r>
          </w:p>
        </w:tc>
        <w:tc>
          <w:tcPr>
            <w:tcW w:type="dxa" w:w="1234"/>
          </w:tcPr>
          <w:p>
            <w:r>
              <w:rPr>
                <w:rFonts w:ascii="Calibri" w:hAnsi="Calibri"/>
                <w:b/>
                <w:color w:val="E5484D"/>
                <w:sz w:val="22"/>
              </w:rPr>
              <w:t>-31.6%</w:t>
            </w:r>
          </w:p>
        </w:tc>
        <w:tc>
          <w:tcPr>
            <w:tcW w:type="dxa" w:w="1234"/>
          </w:tcPr>
          <w:p>
            <w:r>
              <w:rPr>
                <w:rFonts w:ascii="Calibri" w:hAnsi="Calibri"/>
                <w:sz w:val="22"/>
              </w:rPr>
              <w:t>$1.40</w:t>
            </w:r>
          </w:p>
        </w:tc>
        <w:tc>
          <w:tcPr>
            <w:tcW w:type="dxa" w:w="1234"/>
          </w:tcPr>
          <w:p>
            <w:r>
              <w:rPr>
                <w:rFonts w:ascii="Calibri" w:hAnsi="Calibri"/>
                <w:sz w:val="22"/>
              </w:rPr>
              <w:t>+3.6%</w:t>
            </w:r>
          </w:p>
        </w:tc>
      </w:tr>
      <w:tr>
        <w:tc>
          <w:tcPr>
            <w:tcW w:type="dxa" w:w="1234"/>
          </w:tcPr>
          <w:p>
            <w:r>
              <w:rPr>
                <w:rFonts w:ascii="Calibri" w:hAnsi="Calibri"/>
                <w:sz w:val="22"/>
              </w:rPr>
              <w:t>Adj. EBITDA ($M)</w:t>
            </w:r>
          </w:p>
        </w:tc>
        <w:tc>
          <w:tcPr>
            <w:tcW w:type="dxa" w:w="1234"/>
          </w:tcPr>
          <w:p>
            <w:r>
              <w:rPr>
                <w:rFonts w:ascii="Calibri" w:hAnsi="Calibri"/>
                <w:sz w:val="22"/>
              </w:rPr>
              <w:t>$549M</w:t>
            </w:r>
          </w:p>
        </w:tc>
        <w:tc>
          <w:tcPr>
            <w:tcW w:type="dxa" w:w="1234"/>
          </w:tcPr>
          <w:p>
            <w:r>
              <w:rPr>
                <w:rFonts w:ascii="Calibri" w:hAnsi="Calibri"/>
                <w:sz w:val="22"/>
              </w:rPr>
              <w:t>$598M</w:t>
            </w:r>
          </w:p>
        </w:tc>
        <w:tc>
          <w:tcPr>
            <w:tcW w:type="dxa" w:w="1234"/>
          </w:tcPr>
          <w:p>
            <w:r>
              <w:rPr>
                <w:rFonts w:ascii="Calibri" w:hAnsi="Calibri"/>
                <w:sz w:val="22"/>
              </w:rPr>
              <w:t>$585M</w:t>
            </w:r>
          </w:p>
        </w:tc>
        <w:tc>
          <w:tcPr>
            <w:tcW w:type="dxa" w:w="1234"/>
          </w:tcPr>
          <w:p>
            <w:r>
              <w:rPr>
                <w:rFonts w:ascii="Calibri" w:hAnsi="Calibri"/>
                <w:sz w:val="22"/>
              </w:rPr>
              <w:t>-2.2%</w:t>
            </w:r>
          </w:p>
        </w:tc>
        <w:tc>
          <w:tcPr>
            <w:tcW w:type="dxa" w:w="1234"/>
          </w:tcPr>
          <w:p>
            <w:r>
              <w:rPr>
                <w:rFonts w:ascii="Calibri" w:hAnsi="Calibri"/>
                <w:sz w:val="22"/>
              </w:rPr>
              <w:t>$580M</w:t>
            </w:r>
          </w:p>
        </w:tc>
        <w:tc>
          <w:tcPr>
            <w:tcW w:type="dxa" w:w="1234"/>
          </w:tcPr>
          <w:p>
            <w:r>
              <w:rPr>
                <w:rFonts w:ascii="Calibri" w:hAnsi="Calibri"/>
                <w:sz w:val="22"/>
              </w:rPr>
              <w:t>+0.9%</w:t>
            </w:r>
          </w:p>
        </w:tc>
      </w:tr>
      <w:tr>
        <w:tc>
          <w:tcPr>
            <w:tcW w:type="dxa" w:w="1234"/>
          </w:tcPr>
          <w:p>
            <w:r>
              <w:rPr>
                <w:rFonts w:ascii="Calibri" w:hAnsi="Calibri"/>
                <w:sz w:val="22"/>
              </w:rPr>
              <w:t>Adj. EBITDA Margin (%)</w:t>
            </w:r>
          </w:p>
        </w:tc>
        <w:tc>
          <w:tcPr>
            <w:tcW w:type="dxa" w:w="1234"/>
          </w:tcPr>
          <w:p>
            <w:r>
              <w:rPr>
                <w:rFonts w:ascii="Calibri" w:hAnsi="Calibri"/>
                <w:sz w:val="22"/>
              </w:rPr>
              <w:t>17.9%</w:t>
            </w:r>
          </w:p>
        </w:tc>
        <w:tc>
          <w:tcPr>
            <w:tcW w:type="dxa" w:w="1234"/>
          </w:tcPr>
          <w:p>
            <w:r>
              <w:rPr>
                <w:rFonts w:ascii="Calibri" w:hAnsi="Calibri"/>
                <w:sz w:val="22"/>
              </w:rPr>
              <w:t>18.6%</w:t>
            </w:r>
          </w:p>
        </w:tc>
        <w:tc>
          <w:tcPr>
            <w:tcW w:type="dxa" w:w="1234"/>
          </w:tcPr>
          <w:p>
            <w:r>
              <w:rPr>
                <w:rFonts w:ascii="Calibri" w:hAnsi="Calibri"/>
                <w:sz w:val="22"/>
              </w:rPr>
              <w:t>17.6%</w:t>
            </w:r>
          </w:p>
        </w:tc>
        <w:tc>
          <w:tcPr>
            <w:tcW w:type="dxa" w:w="1234"/>
          </w:tcPr>
          <w:p>
            <w:r>
              <w:rPr>
                <w:rFonts w:ascii="Calibri" w:hAnsi="Calibri"/>
                <w:sz w:val="22"/>
              </w:rPr>
              <w:t>-100 bps</w:t>
            </w:r>
          </w:p>
        </w:tc>
        <w:tc>
          <w:tcPr>
            <w:tcW w:type="dxa" w:w="1234"/>
          </w:tcPr>
          <w:p>
            <w:r>
              <w:rPr>
                <w:rFonts w:ascii="Calibri" w:hAnsi="Calibri"/>
                <w:sz w:val="22"/>
              </w:rPr>
              <w:t>17.6%</w:t>
            </w:r>
          </w:p>
        </w:tc>
        <w:tc>
          <w:tcPr>
            <w:tcW w:type="dxa" w:w="1234"/>
          </w:tcPr>
          <w:p>
            <w:r>
              <w:rPr>
                <w:rFonts w:ascii="Calibri" w:hAnsi="Calibri"/>
                <w:sz w:val="22"/>
              </w:rPr>
              <w:t>0 bps</w:t>
            </w:r>
          </w:p>
        </w:tc>
      </w:tr>
      <w:tr>
        <w:tc>
          <w:tcPr>
            <w:tcW w:type="dxa" w:w="1234"/>
          </w:tcPr>
          <w:p>
            <w:r>
              <w:rPr>
                <w:rFonts w:ascii="Calibri" w:hAnsi="Calibri"/>
                <w:sz w:val="22"/>
              </w:rPr>
              <w:t>Adj. Operating Margin (%)</w:t>
            </w:r>
          </w:p>
        </w:tc>
        <w:tc>
          <w:tcPr>
            <w:tcW w:type="dxa" w:w="1234"/>
          </w:tcPr>
          <w:p>
            <w:r>
              <w:rPr>
                <w:rFonts w:ascii="Calibri" w:hAnsi="Calibri"/>
                <w:sz w:val="22"/>
              </w:rPr>
              <w:t>13.5%</w:t>
            </w:r>
          </w:p>
        </w:tc>
        <w:tc>
          <w:tcPr>
            <w:tcW w:type="dxa" w:w="1234"/>
          </w:tcPr>
          <w:p>
            <w:r>
              <w:rPr>
                <w:rFonts w:ascii="Calibri" w:hAnsi="Calibri"/>
                <w:sz w:val="22"/>
              </w:rPr>
              <w:t>14.5%</w:t>
            </w:r>
          </w:p>
        </w:tc>
        <w:tc>
          <w:tcPr>
            <w:tcW w:type="dxa" w:w="1234"/>
          </w:tcPr>
          <w:p>
            <w:r>
              <w:rPr>
                <w:rFonts w:ascii="Calibri" w:hAnsi="Calibri"/>
                <w:sz w:val="22"/>
              </w:rPr>
              <w:t>13.6%</w:t>
            </w:r>
          </w:p>
        </w:tc>
        <w:tc>
          <w:tcPr>
            <w:tcW w:type="dxa" w:w="1234"/>
          </w:tcPr>
          <w:p>
            <w:r>
              <w:rPr>
                <w:rFonts w:ascii="Calibri" w:hAnsi="Calibri"/>
                <w:sz w:val="22"/>
              </w:rPr>
              <w:t>-90 bps</w:t>
            </w:r>
          </w:p>
        </w:tc>
        <w:tc>
          <w:tcPr>
            <w:tcW w:type="dxa" w:w="1234"/>
          </w:tcPr>
          <w:p>
            <w:r>
              <w:rPr>
                <w:rFonts w:ascii="Calibri" w:hAnsi="Calibri"/>
                <w:sz w:val="22"/>
              </w:rPr>
              <w:t>N/A (EBITDA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-$362M</w:t>
            </w:r>
          </w:p>
        </w:tc>
        <w:tc>
          <w:tcPr>
            <w:tcW w:type="dxa" w:w="1234"/>
          </w:tcPr>
          <w:p>
            <w:r>
              <w:rPr>
                <w:rFonts w:ascii="Calibri" w:hAnsi="Calibri"/>
                <w:sz w:val="22"/>
              </w:rPr>
              <w:t>$361M</w:t>
            </w:r>
          </w:p>
        </w:tc>
        <w:tc>
          <w:tcPr>
            <w:tcW w:type="dxa" w:w="1234"/>
          </w:tcPr>
          <w:p>
            <w:r>
              <w:rPr>
                <w:rFonts w:ascii="Calibri" w:hAnsi="Calibri"/>
                <w:sz w:val="22"/>
              </w:rPr>
              <w:t>$327M</w:t>
            </w:r>
          </w:p>
        </w:tc>
        <w:tc>
          <w:tcPr>
            <w:tcW w:type="dxa" w:w="1234"/>
          </w:tcPr>
          <w:p>
            <w:r>
              <w:rPr>
                <w:rFonts w:ascii="Calibri" w:hAnsi="Calibri"/>
                <w:sz w:val="22"/>
              </w:rPr>
              <w:t>-9.4%</w:t>
            </w:r>
          </w:p>
        </w:tc>
        <w:tc>
          <w:tcPr>
            <w:tcW w:type="dxa" w:w="1234"/>
          </w:tcPr>
          <w:p>
            <w:r>
              <w:rPr>
                <w:rFonts w:ascii="Calibri" w:hAnsi="Calibri"/>
                <w:sz w:val="22"/>
              </w:rPr>
              <w:t>N/A (FY guided at $750M)</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Revenue, EPS - Diluted - Operating, EBITDA - Operating, Operating margin - Operating, Free cash flow: Visible Alpha Consensus and Actuals Data. Q2 2026 guidance midpoints from APTV Q1 2026 Earnings Call (May 5, 2026). Note: Q1 2026 actuals reflect New Aptiv standalone (post-Versigent spin April 1, 2026); Q2 2025 actuals reflect legacy combined Aptiv — YoY comparisons are not fully apples-to-apples given the spin.</w:t>
      </w:r>
    </w:p>
    <w:p>
      <w:pPr>
        <w:pStyle w:val="Heading3"/>
      </w:pPr>
      <w:r>
        <w:rPr>
          <w:rFonts w:ascii="Calibri" w:hAnsi="Calibri"/>
          <w:b/>
          <w:color w:val="3B4259"/>
          <w:sz w:val="24"/>
        </w:rPr>
        <w:t>Table 2 — Beat/Miss History (Last 8 Quarters, Top 2 KPIs)</w:t>
      </w:r>
    </w:p>
    <w:p>
      <w:r>
        <w:rPr>
          <w:rFonts w:ascii="Calibri" w:hAnsi="Calibri"/>
          <w:b/>
          <w:color w:val="525866"/>
          <w:sz w:val="22"/>
        </w:rPr>
        <w:t>KPI 1: Revenue | KPI 2: Adj. Operating EPS</w:t>
      </w:r>
      <w:r>
        <w:rPr>
          <w:rFonts w:ascii="Calibri" w:hAnsi="Calibri"/>
          <w:color w:val="525866"/>
          <w:sz w:val="22"/>
        </w:rPr>
        <w:t xml:space="preserve"> — Note: Pre-spin quarters (Q2 2024 – Q1 2026) reflect combined Aptiv including EDS/Versigent segment; New Aptiv standalone reporting begins Q2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$5.09B</w:t>
            </w:r>
          </w:p>
        </w:tc>
        <w:tc>
          <w:tcPr>
            <w:tcW w:type="dxa" w:w="1440"/>
          </w:tcPr>
          <w:p>
            <w:r>
              <w:rPr>
                <w:rFonts w:ascii="Calibri" w:hAnsi="Calibri"/>
                <w:sz w:val="22"/>
              </w:rPr>
              <w:t>$5.09B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$2.12</w:t>
            </w:r>
          </w:p>
        </w:tc>
        <w:tc>
          <w:tcPr>
            <w:tcW w:type="dxa" w:w="1440"/>
          </w:tcPr>
          <w:p>
            <w:r>
              <w:rPr>
                <w:rFonts w:ascii="Calibri" w:hAnsi="Calibri"/>
                <w:sz w:val="22"/>
              </w:rPr>
              <w:t>$1.82</w:t>
            </w:r>
          </w:p>
        </w:tc>
        <w:tc>
          <w:tcPr>
            <w:tcW w:type="dxa" w:w="1440"/>
          </w:tcPr>
          <w:p>
            <w:r>
              <w:rPr>
                <w:rFonts w:ascii="Calibri" w:hAnsi="Calibri"/>
                <w:b/>
                <w:color w:val="30A46C"/>
                <w:sz w:val="22"/>
              </w:rPr>
              <w:t>+16.5%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$2.986B</w:t>
            </w:r>
          </w:p>
        </w:tc>
        <w:tc>
          <w:tcPr>
            <w:tcW w:type="dxa" w:w="1440"/>
          </w:tcPr>
          <w:p>
            <w:r>
              <w:rPr>
                <w:rFonts w:ascii="Calibri" w:hAnsi="Calibri"/>
                <w:sz w:val="22"/>
              </w:rPr>
              <w:t>N/A — pre-spin segment</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$1.83</w:t>
            </w:r>
          </w:p>
        </w:tc>
        <w:tc>
          <w:tcPr>
            <w:tcW w:type="dxa" w:w="1440"/>
          </w:tcPr>
          <w:p>
            <w:r>
              <w:rPr>
                <w:rFonts w:ascii="Calibri" w:hAnsi="Calibri"/>
                <w:sz w:val="22"/>
              </w:rPr>
              <w:t>$1.68</w:t>
            </w:r>
          </w:p>
        </w:tc>
        <w:tc>
          <w:tcPr>
            <w:tcW w:type="dxa" w:w="1440"/>
          </w:tcPr>
          <w:p>
            <w:r>
              <w:rPr>
                <w:rFonts w:ascii="Calibri" w:hAnsi="Calibri"/>
                <w:b/>
                <w:color w:val="30A46C"/>
                <w:sz w:val="22"/>
              </w:rPr>
              <w:t>+8.9%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$2.937B</w:t>
            </w:r>
          </w:p>
        </w:tc>
        <w:tc>
          <w:tcPr>
            <w:tcW w:type="dxa" w:w="1440"/>
          </w:tcPr>
          <w:p>
            <w:r>
              <w:rPr>
                <w:rFonts w:ascii="Calibri" w:hAnsi="Calibri"/>
                <w:sz w:val="22"/>
              </w:rPr>
              <w:t>N/A — pre-spin segment</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$1.74</w:t>
            </w:r>
          </w:p>
        </w:tc>
        <w:tc>
          <w:tcPr>
            <w:tcW w:type="dxa" w:w="1440"/>
          </w:tcPr>
          <w:p>
            <w:r>
              <w:rPr>
                <w:rFonts w:ascii="Calibri" w:hAnsi="Calibri"/>
                <w:sz w:val="22"/>
              </w:rPr>
              <w:t>$1.63</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$2.984B</w:t>
            </w:r>
          </w:p>
        </w:tc>
        <w:tc>
          <w:tcPr>
            <w:tcW w:type="dxa" w:w="1440"/>
          </w:tcPr>
          <w:p>
            <w:r>
              <w:rPr>
                <w:rFonts w:ascii="Calibri" w:hAnsi="Calibri"/>
                <w:sz w:val="22"/>
              </w:rPr>
              <w:t>N/A — pre-spin segment</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$1.69</w:t>
            </w:r>
          </w:p>
        </w:tc>
        <w:tc>
          <w:tcPr>
            <w:tcW w:type="dxa" w:w="1440"/>
          </w:tcPr>
          <w:p>
            <w:r>
              <w:rPr>
                <w:rFonts w:ascii="Calibri" w:hAnsi="Calibri"/>
                <w:sz w:val="22"/>
              </w:rPr>
              <w:t>$1.48</w:t>
            </w:r>
          </w:p>
        </w:tc>
        <w:tc>
          <w:tcPr>
            <w:tcW w:type="dxa" w:w="1440"/>
          </w:tcPr>
          <w:p>
            <w:r>
              <w:rPr>
                <w:rFonts w:ascii="Calibri" w:hAnsi="Calibri"/>
                <w:b/>
                <w:color w:val="30A46C"/>
                <w:sz w:val="22"/>
              </w:rPr>
              <w:t>+14.2%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$3.207B</w:t>
            </w:r>
          </w:p>
        </w:tc>
        <w:tc>
          <w:tcPr>
            <w:tcW w:type="dxa" w:w="1440"/>
          </w:tcPr>
          <w:p>
            <w:r>
              <w:rPr>
                <w:rFonts w:ascii="Calibri" w:hAnsi="Calibri"/>
                <w:sz w:val="22"/>
              </w:rPr>
              <w:t>$3.207B (combined)</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$2.12</w:t>
            </w:r>
          </w:p>
        </w:tc>
        <w:tc>
          <w:tcPr>
            <w:tcW w:type="dxa" w:w="1440"/>
          </w:tcPr>
          <w:p>
            <w:r>
              <w:rPr>
                <w:rFonts w:ascii="Calibri" w:hAnsi="Calibri"/>
                <w:sz w:val="22"/>
              </w:rPr>
              <w:t>$1.82</w:t>
            </w:r>
          </w:p>
        </w:tc>
        <w:tc>
          <w:tcPr>
            <w:tcW w:type="dxa" w:w="1440"/>
          </w:tcPr>
          <w:p>
            <w:r>
              <w:rPr>
                <w:rFonts w:ascii="Calibri" w:hAnsi="Calibri"/>
                <w:b/>
                <w:color w:val="30A46C"/>
                <w:sz w:val="22"/>
              </w:rPr>
              <w:t>+16.5%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$3.134B</w:t>
            </w:r>
          </w:p>
        </w:tc>
        <w:tc>
          <w:tcPr>
            <w:tcW w:type="dxa" w:w="1440"/>
          </w:tcPr>
          <w:p>
            <w:r>
              <w:rPr>
                <w:rFonts w:ascii="Calibri" w:hAnsi="Calibri"/>
                <w:sz w:val="22"/>
              </w:rPr>
              <w:t>N/A — pre-spin segment</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$1.54</w:t>
            </w:r>
          </w:p>
        </w:tc>
        <w:tc>
          <w:tcPr>
            <w:tcW w:type="dxa" w:w="1440"/>
          </w:tcPr>
          <w:p>
            <w:r>
              <w:rPr>
                <w:rFonts w:ascii="Calibri" w:hAnsi="Calibri"/>
                <w:sz w:val="22"/>
              </w:rPr>
              <w:t>$1.80</w:t>
            </w:r>
          </w:p>
        </w:tc>
        <w:tc>
          <w:tcPr>
            <w:tcW w:type="dxa" w:w="1440"/>
          </w:tcPr>
          <w:p>
            <w:r>
              <w:rPr>
                <w:rFonts w:ascii="Calibri" w:hAnsi="Calibri"/>
                <w:b/>
                <w:color w:val="E5484D"/>
                <w:sz w:val="22"/>
              </w:rPr>
              <w:t>-14.4%</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$5.153B</w:t>
            </w:r>
          </w:p>
        </w:tc>
        <w:tc>
          <w:tcPr>
            <w:tcW w:type="dxa" w:w="1440"/>
          </w:tcPr>
          <w:p>
            <w:r>
              <w:rPr>
                <w:rFonts w:ascii="Calibri" w:hAnsi="Calibri"/>
                <w:sz w:val="22"/>
              </w:rPr>
              <w:t>$5.096B (combined)</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$1.86</w:t>
            </w:r>
          </w:p>
        </w:tc>
        <w:tc>
          <w:tcPr>
            <w:tcW w:type="dxa" w:w="1440"/>
          </w:tcPr>
          <w:p>
            <w:r>
              <w:rPr>
                <w:rFonts w:ascii="Calibri" w:hAnsi="Calibri"/>
                <w:sz w:val="22"/>
              </w:rPr>
              <w:t>$1.82</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$3.068B</w:t>
            </w:r>
          </w:p>
        </w:tc>
        <w:tc>
          <w:tcPr>
            <w:tcW w:type="dxa" w:w="1440"/>
          </w:tcPr>
          <w:p>
            <w:r>
              <w:rPr>
                <w:rFonts w:ascii="Calibri" w:hAnsi="Calibri"/>
                <w:sz w:val="22"/>
              </w:rPr>
              <w:t>$3.068B (New Aptiv)</w:t>
            </w:r>
          </w:p>
        </w:tc>
        <w:tc>
          <w:tcPr>
            <w:tcW w:type="dxa" w:w="1440"/>
          </w:tcPr>
          <w:p>
            <w:r>
              <w:rPr>
                <w:rFonts w:ascii="Calibri" w:hAnsi="Calibri"/>
                <w:sz w:val="22"/>
              </w:rPr>
              <w:t>~0%</w:t>
            </w:r>
          </w:p>
        </w:tc>
        <w:tc>
          <w:tcPr>
            <w:tcW w:type="dxa" w:w="1440"/>
          </w:tcPr>
          <w:p>
            <w:r>
              <w:rPr>
                <w:rFonts w:ascii="Calibri" w:hAnsi="Calibri"/>
                <w:sz w:val="22"/>
              </w:rPr>
              <w:t>In-Line / Modest 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$1.60</w:t>
            </w:r>
          </w:p>
        </w:tc>
        <w:tc>
          <w:tcPr>
            <w:tcW w:type="dxa" w:w="1440"/>
          </w:tcPr>
          <w:p>
            <w:r>
              <w:rPr>
                <w:rFonts w:ascii="Calibri" w:hAnsi="Calibri"/>
                <w:b/>
                <w:color w:val="30A46C"/>
                <w:sz w:val="22"/>
              </w:rPr>
              <w:t>+6.9%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APTV has beaten Adj. EPS consensus in 6 of the last 8 quarters, with the one notable miss in Q3 2025 (-14.4%) driven by a supplier-fire headwind at a major North American OEM; the consistent beat pattern on EPS (averaging ~+7-8% on beats) suggests management guides conservatively, supporting a low-bar setup for Q2 2026.</w:t>
      </w:r>
    </w:p>
    <w:p>
      <w:r>
        <w:rPr>
          <w:rFonts w:ascii="Calibri" w:hAnsi="Calibri"/>
          <w:i/>
          <w:color w:val="525866"/>
          <w:sz w:val="22"/>
        </w:rPr>
        <w:t xml:space="preserve">Sources: </w:t>
      </w:r>
      <w:r>
        <w:rPr>
          <w:rFonts w:ascii="Calibri" w:hAnsi="Calibri"/>
          <w:i/>
          <w:color w:val="525866"/>
          <w:sz w:val="22"/>
        </w:rPr>
        <w:t>Visible Alpha Consensus and Actuals Data (Revenue, EPS - Diluted - Operating). Revenue beat/miss history for pre-spin quarters uses combined Aptiv figures and is not directly comparable to New Aptiv standalone; N/A noted where segment-level consensus is not available.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maintained at the midpoint after Q1, but the commodity headwind assumption was raised by ~50 bps. </w:t>
      </w:r>
      <w:r>
        <w:rPr>
          <w:rFonts w:ascii="Calibri" w:hAnsi="Calibri"/>
          <w:b/>
          <w:color w:val="525866"/>
          <w:sz w:val="22"/>
        </w:rPr>
        <w:t>Management's tone at the June 10 Wells Fargo conference was explicitly comfortable with guidance</w:t>
      </w:r>
      <w:r>
        <w:rPr>
          <w:rFonts w:ascii="Calibri" w:hAnsi="Calibri"/>
          <w:color w:val="525866"/>
          <w:sz w:val="22"/>
        </w:rPr>
        <w:t xml:space="preserve"> — no revision, no conservatism flagged — making the Q2 print a clean test of the H2 acceleration thesis.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 Growth</w:t>
            </w:r>
          </w:p>
        </w:tc>
        <w:tc>
          <w:tcPr>
            <w:tcW w:type="dxa" w:w="1728"/>
          </w:tcPr>
          <w:p>
            <w:r>
              <w:rPr>
                <w:rFonts w:ascii="Calibri" w:hAnsi="Calibri"/>
                <w:sz w:val="22"/>
              </w:rPr>
              <w:t>~2% at midpoint</w:t>
            </w:r>
          </w:p>
        </w:tc>
        <w:tc>
          <w:tcPr>
            <w:tcW w:type="dxa" w:w="1728"/>
          </w:tcPr>
          <w:p>
            <w:r>
              <w:rPr>
                <w:rFonts w:ascii="Calibri" w:hAnsi="Calibri"/>
                <w:sz w:val="22"/>
              </w:rPr>
              <w:t>—</w:t>
            </w:r>
          </w:p>
        </w:tc>
        <w:tc>
          <w:tcPr>
            <w:tcW w:type="dxa" w:w="1728"/>
          </w:tcPr>
          <w:p>
            <w:r>
              <w:rPr>
                <w:rFonts w:ascii="Calibri" w:hAnsi="Calibri"/>
                <w:sz w:val="22"/>
              </w:rPr>
              <w:t>+3.4% YoY (~$3.32B)</w:t>
            </w:r>
          </w:p>
        </w:tc>
        <w:tc>
          <w:tcPr>
            <w:tcW w:type="dxa" w:w="1728"/>
          </w:tcPr>
          <w:p>
            <w:r>
              <w:rPr>
                <w:rFonts w:ascii="Calibri" w:hAnsi="Calibri"/>
                <w:sz w:val="22"/>
              </w:rPr>
              <w:t>No post-earnings update; consensus sits modestly above guidance midpoint</w:t>
            </w:r>
          </w:p>
        </w:tc>
      </w:tr>
      <w:tr>
        <w:tc>
          <w:tcPr>
            <w:tcW w:type="dxa" w:w="1728"/>
          </w:tcPr>
          <w:p>
            <w:r>
              <w:rPr>
                <w:rFonts w:ascii="Calibri" w:hAnsi="Calibri"/>
                <w:sz w:val="22"/>
              </w:rPr>
              <w:t>Q2 2026 Adj. EBITDA</w:t>
            </w:r>
          </w:p>
        </w:tc>
        <w:tc>
          <w:tcPr>
            <w:tcW w:type="dxa" w:w="1728"/>
          </w:tcPr>
          <w:p>
            <w:r>
              <w:rPr>
                <w:rFonts w:ascii="Calibri" w:hAnsi="Calibri"/>
                <w:sz w:val="22"/>
              </w:rPr>
              <w:t>$580M at midpoint (17.6% margin)</w:t>
            </w:r>
          </w:p>
        </w:tc>
        <w:tc>
          <w:tcPr>
            <w:tcW w:type="dxa" w:w="1728"/>
          </w:tcPr>
          <w:p>
            <w:r>
              <w:rPr>
                <w:rFonts w:ascii="Calibri" w:hAnsi="Calibri"/>
                <w:sz w:val="22"/>
              </w:rPr>
              <w:t>—</w:t>
            </w:r>
          </w:p>
        </w:tc>
        <w:tc>
          <w:tcPr>
            <w:tcW w:type="dxa" w:w="1728"/>
          </w:tcPr>
          <w:p>
            <w:r>
              <w:rPr>
                <w:rFonts w:ascii="Calibri" w:hAnsi="Calibri"/>
                <w:sz w:val="22"/>
              </w:rPr>
              <w:t>$585M (17.6% margin)</w:t>
            </w:r>
          </w:p>
        </w:tc>
        <w:tc>
          <w:tcPr>
            <w:tcW w:type="dxa" w:w="1728"/>
          </w:tcPr>
          <w:p>
            <w:r>
              <w:rPr>
                <w:rFonts w:ascii="Calibri" w:hAnsi="Calibri"/>
                <w:sz w:val="22"/>
              </w:rPr>
              <w:t>Consensus essentially at guidance midpoint; no revision since Q1 print</w:t>
            </w:r>
          </w:p>
        </w:tc>
      </w:tr>
      <w:tr>
        <w:tc>
          <w:tcPr>
            <w:tcW w:type="dxa" w:w="1728"/>
          </w:tcPr>
          <w:p>
            <w:r>
              <w:rPr>
                <w:rFonts w:ascii="Calibri" w:hAnsi="Calibri"/>
                <w:sz w:val="22"/>
              </w:rPr>
              <w:t>Q2 2026 Adj. EPS</w:t>
            </w:r>
          </w:p>
        </w:tc>
        <w:tc>
          <w:tcPr>
            <w:tcW w:type="dxa" w:w="1728"/>
          </w:tcPr>
          <w:p>
            <w:r>
              <w:rPr>
                <w:rFonts w:ascii="Calibri" w:hAnsi="Calibri"/>
                <w:sz w:val="22"/>
              </w:rPr>
              <w:t>$1.40 at midpoint</w:t>
            </w:r>
          </w:p>
        </w:tc>
        <w:tc>
          <w:tcPr>
            <w:tcW w:type="dxa" w:w="1728"/>
          </w:tcPr>
          <w:p>
            <w:r>
              <w:rPr>
                <w:rFonts w:ascii="Calibri" w:hAnsi="Calibri"/>
                <w:sz w:val="22"/>
              </w:rPr>
              <w:t>—</w:t>
            </w:r>
          </w:p>
        </w:tc>
        <w:tc>
          <w:tcPr>
            <w:tcW w:type="dxa" w:w="1728"/>
          </w:tcPr>
          <w:p>
            <w:r>
              <w:rPr>
                <w:rFonts w:ascii="Calibri" w:hAnsi="Calibri"/>
                <w:sz w:val="22"/>
              </w:rPr>
              <w:t>$1.45</w:t>
            </w:r>
          </w:p>
        </w:tc>
        <w:tc>
          <w:tcPr>
            <w:tcW w:type="dxa" w:w="1728"/>
          </w:tcPr>
          <w:p>
            <w:r>
              <w:rPr>
                <w:rFonts w:ascii="Calibri" w:hAnsi="Calibri"/>
                <w:sz w:val="22"/>
              </w:rPr>
              <w:t>Consensus ~3.6% above guidance midpoint; consistent with APTV's history of conservative guidance</w:t>
            </w:r>
          </w:p>
        </w:tc>
      </w:tr>
      <w:tr>
        <w:tc>
          <w:tcPr>
            <w:tcW w:type="dxa" w:w="1728"/>
          </w:tcPr>
          <w:p>
            <w:r>
              <w:rPr>
                <w:rFonts w:ascii="Calibri" w:hAnsi="Calibri"/>
                <w:sz w:val="22"/>
              </w:rPr>
              <w:t>FY 2026 Revenue</w:t>
            </w:r>
          </w:p>
        </w:tc>
        <w:tc>
          <w:tcPr>
            <w:tcW w:type="dxa" w:w="1728"/>
          </w:tcPr>
          <w:p>
            <w:r>
              <w:rPr>
                <w:rFonts w:ascii="Calibri" w:hAnsi="Calibri"/>
                <w:sz w:val="22"/>
              </w:rPr>
              <w:t>$12.8–13.2B (4% growth at midpoint)</w:t>
            </w:r>
          </w:p>
        </w:tc>
        <w:tc>
          <w:tcPr>
            <w:tcW w:type="dxa" w:w="1728"/>
          </w:tcPr>
          <w:p>
            <w:r>
              <w:rPr>
                <w:rFonts w:ascii="Calibri" w:hAnsi="Calibri"/>
                <w:sz w:val="22"/>
              </w:rPr>
              <w:t>—</w:t>
            </w:r>
          </w:p>
        </w:tc>
        <w:tc>
          <w:tcPr>
            <w:tcW w:type="dxa" w:w="1728"/>
          </w:tcPr>
          <w:p>
            <w:r>
              <w:rPr>
                <w:rFonts w:ascii="Calibri" w:hAnsi="Calibri"/>
                <w:sz w:val="22"/>
              </w:rPr>
              <w:t>~$13.44B</w:t>
            </w:r>
          </w:p>
        </w:tc>
        <w:tc>
          <w:tcPr>
            <w:tcW w:type="dxa" w:w="1728"/>
          </w:tcPr>
          <w:p>
            <w:r>
              <w:rPr>
                <w:rFonts w:ascii="Calibri" w:hAnsi="Calibri"/>
                <w:sz w:val="22"/>
              </w:rPr>
              <w:t>Consensus above guidance midpoint; reflects H2 acceleration thesis; no post-Q1 revision to guidance</w:t>
            </w:r>
          </w:p>
        </w:tc>
      </w:tr>
      <w:tr>
        <w:tc>
          <w:tcPr>
            <w:tcW w:type="dxa" w:w="1728"/>
          </w:tcPr>
          <w:p>
            <w:r>
              <w:rPr>
                <w:rFonts w:ascii="Calibri" w:hAnsi="Calibri"/>
                <w:sz w:val="22"/>
              </w:rPr>
              <w:t>FY 2026 Adj. EBITDA</w:t>
            </w:r>
          </w:p>
        </w:tc>
        <w:tc>
          <w:tcPr>
            <w:tcW w:type="dxa" w:w="1728"/>
          </w:tcPr>
          <w:p>
            <w:r>
              <w:rPr>
                <w:rFonts w:ascii="Calibri" w:hAnsi="Calibri"/>
                <w:sz w:val="22"/>
              </w:rPr>
              <w:t>~$2.48B (maintained at midpoint)</w:t>
            </w:r>
          </w:p>
        </w:tc>
        <w:tc>
          <w:tcPr>
            <w:tcW w:type="dxa" w:w="1728"/>
          </w:tcPr>
          <w:p>
            <w:r>
              <w:rPr>
                <w:rFonts w:ascii="Calibri" w:hAnsi="Calibri"/>
                <w:sz w:val="22"/>
              </w:rPr>
              <w:t>—</w:t>
            </w:r>
          </w:p>
        </w:tc>
        <w:tc>
          <w:tcPr>
            <w:tcW w:type="dxa" w:w="1728"/>
          </w:tcPr>
          <w:p>
            <w:r>
              <w:rPr>
                <w:rFonts w:ascii="Calibri" w:hAnsi="Calibri"/>
                <w:sz w:val="22"/>
              </w:rPr>
              <w:t>~$2.48B</w:t>
            </w:r>
          </w:p>
        </w:tc>
        <w:tc>
          <w:tcPr>
            <w:tcW w:type="dxa" w:w="1728"/>
          </w:tcPr>
          <w:p>
            <w:r>
              <w:rPr>
                <w:rFonts w:ascii="Calibri" w:hAnsi="Calibri"/>
                <w:sz w:val="22"/>
              </w:rPr>
              <w:t>Consensus at guidance midpoint; commodity headwind assumption raised ~50 bps vs. prior guide</w:t>
            </w:r>
          </w:p>
        </w:tc>
      </w:tr>
      <w:tr>
        <w:tc>
          <w:tcPr>
            <w:tcW w:type="dxa" w:w="1728"/>
          </w:tcPr>
          <w:p>
            <w:r>
              <w:rPr>
                <w:rFonts w:ascii="Calibri" w:hAnsi="Calibri"/>
                <w:sz w:val="22"/>
              </w:rPr>
              <w:t>FY 2026 Free Cash Flow</w:t>
            </w:r>
          </w:p>
        </w:tc>
        <w:tc>
          <w:tcPr>
            <w:tcW w:type="dxa" w:w="1728"/>
          </w:tcPr>
          <w:p>
            <w:r>
              <w:rPr>
                <w:rFonts w:ascii="Calibri" w:hAnsi="Calibri"/>
                <w:sz w:val="22"/>
              </w:rPr>
              <w:t>$750M at midpoint (incl. ~$100M Q2 separation costs)</w:t>
            </w:r>
          </w:p>
        </w:tc>
        <w:tc>
          <w:tcPr>
            <w:tcW w:type="dxa" w:w="1728"/>
          </w:tcPr>
          <w:p>
            <w:r>
              <w:rPr>
                <w:rFonts w:ascii="Calibri" w:hAnsi="Calibri"/>
                <w:sz w:val="22"/>
              </w:rPr>
              <w:t>—</w:t>
            </w:r>
          </w:p>
        </w:tc>
        <w:tc>
          <w:tcPr>
            <w:tcW w:type="dxa" w:w="1728"/>
          </w:tcPr>
          <w:p>
            <w:r>
              <w:rPr>
                <w:rFonts w:ascii="Calibri" w:hAnsi="Calibri"/>
                <w:sz w:val="22"/>
              </w:rPr>
              <w:t>~$733M</w:t>
            </w:r>
          </w:p>
        </w:tc>
        <w:tc>
          <w:tcPr>
            <w:tcW w:type="dxa" w:w="1728"/>
          </w:tcPr>
          <w:p>
            <w:r>
              <w:rPr>
                <w:rFonts w:ascii="Calibri" w:hAnsi="Calibri"/>
                <w:sz w:val="22"/>
              </w:rPr>
              <w:t>Consensus slightly below guidance midpoint; Q2 FCF will be impacted by ~$100M in separation costs</w:t>
            </w:r>
          </w:p>
        </w:tc>
      </w:tr>
      <w:tr>
        <w:tc>
          <w:tcPr>
            <w:tcW w:type="dxa" w:w="1728"/>
          </w:tcPr>
          <w:p>
            <w:r>
              <w:rPr>
                <w:rFonts w:ascii="Calibri" w:hAnsi="Calibri"/>
                <w:sz w:val="22"/>
              </w:rPr>
              <w:t>Commodity Headwind Assumption</w:t>
            </w:r>
          </w:p>
        </w:tc>
        <w:tc>
          <w:tcPr>
            <w:tcW w:type="dxa" w:w="1728"/>
          </w:tcPr>
          <w:p>
            <w:r>
              <w:rPr>
                <w:rFonts w:ascii="Calibri" w:hAnsi="Calibri"/>
                <w:sz w:val="22"/>
              </w:rPr>
              <w:t>Higher vs. prior guide; ~50 bps incremental FX/commodity headwind entered system</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 Raised at Q1 earnings (May 5, 2026); copper, gold, silver, resins cited; Middle East conflict driver</w:t>
            </w:r>
          </w:p>
        </w:tc>
      </w:tr>
      <w:tr>
        <w:tc>
          <w:tcPr>
            <w:tcW w:type="dxa" w:w="1728"/>
          </w:tcPr>
          <w:p>
            <w:r>
              <w:rPr>
                <w:rFonts w:ascii="Calibri" w:hAnsi="Calibri"/>
                <w:sz w:val="22"/>
              </w:rPr>
              <w:t>Vehicle Production Assumption</w:t>
            </w:r>
          </w:p>
        </w:tc>
        <w:tc>
          <w:tcPr>
            <w:tcW w:type="dxa" w:w="1728"/>
          </w:tcPr>
          <w:p>
            <w:r>
              <w:rPr>
                <w:rFonts w:ascii="Calibri" w:hAnsi="Calibri"/>
                <w:sz w:val="22"/>
              </w:rPr>
              <w:t>Aptiv-weighted: -2% H1, -1% H2</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Comfortable with guidance despite S&amp;P/IHS forecast cuts (June 10 Wells Fargo conference)</w:t>
            </w:r>
          </w:p>
        </w:tc>
      </w:tr>
    </w:tbl>
    <w:p>
      <w:r>
        <w:rPr>
          <w:rFonts w:ascii="Calibri" w:hAnsi="Calibri"/>
          <w:i/>
          <w:color w:val="525866"/>
          <w:sz w:val="22"/>
        </w:rPr>
        <w:t xml:space="preserve">Sources: </w:t>
      </w:r>
      <w:r>
        <w:rPr>
          <w:rFonts w:ascii="Calibri" w:hAnsi="Calibri"/>
          <w:i/>
          <w:color w:val="525866"/>
          <w:sz w:val="22"/>
        </w:rPr>
        <w:t>APTV Q1 2026 Earnings Call transcript (May 5, 2026); Wells Fargo Industrials &amp; Materials Conference transcript (June 10,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estimates have been revised down modestly since the Q1 print (EPS -2.1%, EBITDA -0.2%), tracking closely with guidance — no meaningful divergence. </w:t>
      </w:r>
      <w:r>
        <w:rPr>
          <w:rFonts w:ascii="Calibri" w:hAnsi="Calibri"/>
          <w:b/>
          <w:color w:val="525866"/>
          <w:sz w:val="22"/>
        </w:rPr>
        <w:t>The bigger story is FY2026: EPS consensus has fallen ~4.7% since Q1 earnings</w:t>
      </w:r>
      <w:r>
        <w:rPr>
          <w:rFonts w:ascii="Calibri" w:hAnsi="Calibri"/>
          <w:color w:val="525866"/>
          <w:sz w:val="22"/>
        </w:rPr>
        <w:t>, reflecting the market's skepticism about the H2 acceleration thesis and commodity headwinds, even as management maintained guidance. The gap between FY consensus and guidance midpoint represents the key risk/cushion debate.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(as of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$3.300B</w:t>
            </w:r>
          </w:p>
        </w:tc>
        <w:tc>
          <w:tcPr>
            <w:tcW w:type="dxa" w:w="1080"/>
          </w:tcPr>
          <w:p>
            <w:r>
              <w:rPr>
                <w:rFonts w:ascii="Calibri" w:hAnsi="Calibri"/>
                <w:sz w:val="22"/>
              </w:rPr>
              <w:t>$3.317B</w:t>
            </w:r>
          </w:p>
        </w:tc>
        <w:tc>
          <w:tcPr>
            <w:tcW w:type="dxa" w:w="1080"/>
          </w:tcPr>
          <w:p>
            <w:r>
              <w:rPr>
                <w:rFonts w:ascii="Calibri" w:hAnsi="Calibri"/>
                <w:b/>
                <w:color w:val="30A46C"/>
                <w:sz w:val="22"/>
              </w:rPr>
              <w:t>+0.5%</w:t>
            </w:r>
          </w:p>
        </w:tc>
        <w:tc>
          <w:tcPr>
            <w:tcW w:type="dxa" w:w="1080"/>
          </w:tcPr>
          <w:p>
            <w:r>
              <w:rPr>
                <w:rFonts w:ascii="Calibri" w:hAnsi="Calibri"/>
                <w:sz w:val="22"/>
              </w:rPr>
              <w:t>~$3.30B (2%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EPS — Q2 2026</w:t>
            </w:r>
          </w:p>
        </w:tc>
        <w:tc>
          <w:tcPr>
            <w:tcW w:type="dxa" w:w="1080"/>
          </w:tcPr>
          <w:p>
            <w:r>
              <w:rPr>
                <w:rFonts w:ascii="Calibri" w:hAnsi="Calibri"/>
                <w:sz w:val="22"/>
              </w:rPr>
              <w:t>$1.416</w:t>
            </w:r>
          </w:p>
        </w:tc>
        <w:tc>
          <w:tcPr>
            <w:tcW w:type="dxa" w:w="1080"/>
          </w:tcPr>
          <w:p>
            <w:r>
              <w:rPr>
                <w:rFonts w:ascii="Calibri" w:hAnsi="Calibri"/>
                <w:sz w:val="22"/>
              </w:rPr>
              <w:t>$1.449</w:t>
            </w:r>
          </w:p>
        </w:tc>
        <w:tc>
          <w:tcPr>
            <w:tcW w:type="dxa" w:w="1080"/>
          </w:tcPr>
          <w:p>
            <w:r>
              <w:rPr>
                <w:rFonts w:ascii="Calibri" w:hAnsi="Calibri"/>
                <w:b/>
                <w:color w:val="30A46C"/>
                <w:sz w:val="22"/>
              </w:rPr>
              <w:t>+2.3%</w:t>
            </w:r>
          </w:p>
        </w:tc>
        <w:tc>
          <w:tcPr>
            <w:tcW w:type="dxa" w:w="1080"/>
          </w:tcPr>
          <w:p>
            <w:r>
              <w:rPr>
                <w:rFonts w:ascii="Calibri" w:hAnsi="Calibri"/>
                <w:sz w:val="22"/>
              </w:rPr>
              <w:t>$1.40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w:t>
            </w:r>
          </w:p>
        </w:tc>
      </w:tr>
      <w:tr>
        <w:tc>
          <w:tcPr>
            <w:tcW w:type="dxa" w:w="1080"/>
          </w:tcPr>
          <w:p>
            <w:r>
              <w:rPr>
                <w:rFonts w:ascii="Calibri" w:hAnsi="Calibri"/>
                <w:sz w:val="22"/>
              </w:rPr>
              <w:t>Adj. EBITDA — Q2 2026</w:t>
            </w:r>
          </w:p>
        </w:tc>
        <w:tc>
          <w:tcPr>
            <w:tcW w:type="dxa" w:w="1080"/>
          </w:tcPr>
          <w:p>
            <w:r>
              <w:rPr>
                <w:rFonts w:ascii="Calibri" w:hAnsi="Calibri"/>
                <w:sz w:val="22"/>
              </w:rPr>
              <w:t>$584M</w:t>
            </w:r>
          </w:p>
        </w:tc>
        <w:tc>
          <w:tcPr>
            <w:tcW w:type="dxa" w:w="1080"/>
          </w:tcPr>
          <w:p>
            <w:r>
              <w:rPr>
                <w:rFonts w:ascii="Calibri" w:hAnsi="Calibri"/>
                <w:sz w:val="22"/>
              </w:rPr>
              <w:t>$585M</w:t>
            </w:r>
          </w:p>
        </w:tc>
        <w:tc>
          <w:tcPr>
            <w:tcW w:type="dxa" w:w="1080"/>
          </w:tcPr>
          <w:p>
            <w:r>
              <w:rPr>
                <w:rFonts w:ascii="Calibri" w:hAnsi="Calibri"/>
                <w:sz w:val="22"/>
              </w:rPr>
              <w:t>+0.2%</w:t>
            </w:r>
          </w:p>
        </w:tc>
        <w:tc>
          <w:tcPr>
            <w:tcW w:type="dxa" w:w="1080"/>
          </w:tcPr>
          <w:p>
            <w:r>
              <w:rPr>
                <w:rFonts w:ascii="Calibri" w:hAnsi="Calibri"/>
                <w:sz w:val="22"/>
              </w:rPr>
              <w:t>$580M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Revenue — FY 2026</w:t>
            </w:r>
          </w:p>
        </w:tc>
        <w:tc>
          <w:tcPr>
            <w:tcW w:type="dxa" w:w="1080"/>
          </w:tcPr>
          <w:p>
            <w:r>
              <w:rPr>
                <w:rFonts w:ascii="Calibri" w:hAnsi="Calibri"/>
                <w:sz w:val="22"/>
              </w:rPr>
              <w:t>$14.704B</w:t>
            </w:r>
          </w:p>
        </w:tc>
        <w:tc>
          <w:tcPr>
            <w:tcW w:type="dxa" w:w="1080"/>
          </w:tcPr>
          <w:p>
            <w:r>
              <w:rPr>
                <w:rFonts w:ascii="Calibri" w:hAnsi="Calibri"/>
                <w:sz w:val="22"/>
              </w:rPr>
              <w:t>$13.438B</w:t>
            </w:r>
          </w:p>
        </w:tc>
        <w:tc>
          <w:tcPr>
            <w:tcW w:type="dxa" w:w="1080"/>
          </w:tcPr>
          <w:p>
            <w:r>
              <w:rPr>
                <w:rFonts w:ascii="Calibri" w:hAnsi="Calibri"/>
                <w:b/>
                <w:color w:val="E5484D"/>
                <w:sz w:val="22"/>
              </w:rPr>
              <w:t>-8.6%</w:t>
            </w:r>
          </w:p>
        </w:tc>
        <w:tc>
          <w:tcPr>
            <w:tcW w:type="dxa" w:w="1080"/>
          </w:tcPr>
          <w:p>
            <w:r>
              <w:rPr>
                <w:rFonts w:ascii="Calibri" w:hAnsi="Calibri"/>
                <w:sz w:val="22"/>
              </w:rPr>
              <w:t>$12.8–13.2B midpoint ~$13.0B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+3.4% vs. midpoint</w:t>
            </w:r>
          </w:p>
        </w:tc>
      </w:tr>
      <w:tr>
        <w:tc>
          <w:tcPr>
            <w:tcW w:type="dxa" w:w="1080"/>
          </w:tcPr>
          <w:p>
            <w:r>
              <w:rPr>
                <w:rFonts w:ascii="Calibri" w:hAnsi="Calibri"/>
                <w:sz w:val="22"/>
              </w:rPr>
              <w:t>Adj. EPS — FY 2026</w:t>
            </w:r>
          </w:p>
        </w:tc>
        <w:tc>
          <w:tcPr>
            <w:tcW w:type="dxa" w:w="1080"/>
          </w:tcPr>
          <w:p>
            <w:r>
              <w:rPr>
                <w:rFonts w:ascii="Calibri" w:hAnsi="Calibri"/>
                <w:sz w:val="22"/>
              </w:rPr>
              <w:t>$6.228</w:t>
            </w:r>
          </w:p>
        </w:tc>
        <w:tc>
          <w:tcPr>
            <w:tcW w:type="dxa" w:w="1080"/>
          </w:tcPr>
          <w:p>
            <w:r>
              <w:rPr>
                <w:rFonts w:ascii="Calibri" w:hAnsi="Calibri"/>
                <w:sz w:val="22"/>
              </w:rPr>
              <w:t>$5.930</w:t>
            </w:r>
          </w:p>
        </w:tc>
        <w:tc>
          <w:tcPr>
            <w:tcW w:type="dxa" w:w="1080"/>
          </w:tcPr>
          <w:p>
            <w:r>
              <w:rPr>
                <w:rFonts w:ascii="Calibri" w:hAnsi="Calibri"/>
                <w:b/>
                <w:color w:val="E5484D"/>
                <w:sz w:val="22"/>
              </w:rPr>
              <w:t>-4.8%</w:t>
            </w:r>
          </w:p>
        </w:tc>
        <w:tc>
          <w:tcPr>
            <w:tcW w:type="dxa" w:w="1080"/>
          </w:tcPr>
          <w:p>
            <w:r>
              <w:rPr>
                <w:rFonts w:ascii="Calibri" w:hAnsi="Calibri"/>
                <w:sz w:val="22"/>
              </w:rPr>
              <w:t>~$5.90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EBITDA — FY 2026</w:t>
            </w:r>
          </w:p>
        </w:tc>
        <w:tc>
          <w:tcPr>
            <w:tcW w:type="dxa" w:w="1080"/>
          </w:tcPr>
          <w:p>
            <w:r>
              <w:rPr>
                <w:rFonts w:ascii="Calibri" w:hAnsi="Calibri"/>
                <w:sz w:val="22"/>
              </w:rPr>
              <w:t>$2.558B</w:t>
            </w:r>
          </w:p>
        </w:tc>
        <w:tc>
          <w:tcPr>
            <w:tcW w:type="dxa" w:w="1080"/>
          </w:tcPr>
          <w:p>
            <w:r>
              <w:rPr>
                <w:rFonts w:ascii="Calibri" w:hAnsi="Calibri"/>
                <w:sz w:val="22"/>
              </w:rPr>
              <w:t>$2.481B</w:t>
            </w:r>
          </w:p>
        </w:tc>
        <w:tc>
          <w:tcPr>
            <w:tcW w:type="dxa" w:w="1080"/>
          </w:tcPr>
          <w:p>
            <w:r>
              <w:rPr>
                <w:rFonts w:ascii="Calibri" w:hAnsi="Calibri"/>
                <w:b/>
                <w:color w:val="E5484D"/>
                <w:sz w:val="22"/>
              </w:rPr>
              <w:t>-3.0%</w:t>
            </w:r>
          </w:p>
        </w:tc>
        <w:tc>
          <w:tcPr>
            <w:tcW w:type="dxa" w:w="1080"/>
          </w:tcPr>
          <w:p>
            <w:r>
              <w:rPr>
                <w:rFonts w:ascii="Calibri" w:hAnsi="Calibri"/>
                <w:sz w:val="22"/>
              </w:rPr>
              <w:t>~$2.48B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w:t>
            </w:r>
          </w:p>
        </w:tc>
      </w:tr>
      <w:tr>
        <w:tc>
          <w:tcPr>
            <w:tcW w:type="dxa" w:w="1080"/>
          </w:tcPr>
          <w:p>
            <w:r>
              <w:rPr>
                <w:rFonts w:ascii="Calibri" w:hAnsi="Calibri"/>
                <w:sz w:val="22"/>
              </w:rPr>
              <w:t>Free Cash Flow — FY 2026</w:t>
            </w:r>
          </w:p>
        </w:tc>
        <w:tc>
          <w:tcPr>
            <w:tcW w:type="dxa" w:w="1080"/>
          </w:tcPr>
          <w:p>
            <w:r>
              <w:rPr>
                <w:rFonts w:ascii="Calibri" w:hAnsi="Calibri"/>
                <w:sz w:val="22"/>
              </w:rPr>
              <w:t>$852M</w:t>
            </w:r>
          </w:p>
        </w:tc>
        <w:tc>
          <w:tcPr>
            <w:tcW w:type="dxa" w:w="1080"/>
          </w:tcPr>
          <w:p>
            <w:r>
              <w:rPr>
                <w:rFonts w:ascii="Calibri" w:hAnsi="Calibri"/>
                <w:sz w:val="22"/>
              </w:rPr>
              <w:t>$733M</w:t>
            </w:r>
          </w:p>
        </w:tc>
        <w:tc>
          <w:tcPr>
            <w:tcW w:type="dxa" w:w="1080"/>
          </w:tcPr>
          <w:p>
            <w:r>
              <w:rPr>
                <w:rFonts w:ascii="Calibri" w:hAnsi="Calibri"/>
                <w:b/>
                <w:color w:val="E5484D"/>
                <w:sz w:val="22"/>
              </w:rPr>
              <w:t>-14.0%</w:t>
            </w:r>
          </w:p>
        </w:tc>
        <w:tc>
          <w:tcPr>
            <w:tcW w:type="dxa" w:w="1080"/>
          </w:tcPr>
          <w:p>
            <w:r>
              <w:rPr>
                <w:rFonts w:ascii="Calibri" w:hAnsi="Calibri"/>
                <w:sz w:val="22"/>
              </w:rPr>
              <w:t>$750M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w:t>
            </w:r>
          </w:p>
        </w:tc>
      </w:tr>
    </w:tbl>
    <w:p>
      <w:r>
        <w:rPr>
          <w:rFonts w:ascii="Calibri" w:hAnsi="Calibri"/>
          <w:b/>
          <w:color w:val="525866"/>
          <w:sz w:val="22"/>
        </w:rPr>
        <w:t xml:space="preserve">Commentary: </w:t>
      </w:r>
      <w:r>
        <w:rPr>
          <w:rFonts w:ascii="Calibri" w:hAnsi="Calibri"/>
          <w:color w:val="525866"/>
          <w:sz w:val="22"/>
        </w:rPr>
        <w:t>The large FY2026 revenue revision (-8.6%) reflects the spin-off mechanics — the May 12 consensus still partially embedded legacy combined Aptiv revenue; the New Aptiv standalone FY2026 guidance midpoint of ~$13.0B is the correct anchor. On a like-for-like basis, FY EPS consensus has drifted down ~4.8% since Q1 earnings, suggesting the market is not fully buying the H2 acceleration story. FCF consensus of $733M sits below the $750M guidance midpoint, likely reflecting uncertainty around the timing of separation cost payments.</w:t>
      </w:r>
    </w:p>
    <w:p>
      <w:r>
        <w:rPr>
          <w:rFonts w:ascii="Calibri" w:hAnsi="Calibri"/>
          <w:i/>
          <w:color w:val="525866"/>
          <w:sz w:val="22"/>
        </w:rPr>
        <w:t xml:space="preserve">Sources: </w:t>
      </w:r>
      <w:r>
        <w:rPr>
          <w:rFonts w:ascii="Calibri" w:hAnsi="Calibri"/>
          <w:i/>
          <w:color w:val="525866"/>
          <w:sz w:val="22"/>
        </w:rPr>
        <w:t>Visible Alpha Consensus and Actuals Data (as_of_dates: 2026-05-12 and current); APTV Q1 2026 Earnings Call (May 5,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APTV has modestly outperformed CARZ since the Q1 print (+4.4% vs. -2.4%) but the path was volatile — a sharp rally to $76+ in early June reversed entirely. </w:t>
      </w:r>
      <w:r>
        <w:rPr>
          <w:rFonts w:ascii="Calibri" w:hAnsi="Calibri"/>
          <w:color w:val="525866"/>
          <w:sz w:val="22"/>
        </w:rPr>
        <w:t>The underperformance vs. SPY (+3.2%) and the stock's deeply discounted multiple (7x EV/EBITDA, 11x P/E) suggest the market is pricing in execution risk, not rewarding the H2 thesis yet.</w:t>
      </w:r>
    </w:p>
    <w:p>
      <w:pPr>
        <w:pStyle w:val="Heading3"/>
      </w:pPr>
      <w:r>
        <w:rPr>
          <w:rFonts w:ascii="Calibri" w:hAnsi="Calibri"/>
          <w:b/>
          <w:color w:val="3B4259"/>
          <w:sz w:val="24"/>
        </w:rPr>
        <w:t>Chart: APTV vs. CARZ vs. SPY — Indexed Since Q1 2026 Earnings (May 5, 2026)</w:t>
      </w:r>
    </w:p>
    <w:p>
      <w:r>
        <w:rPr>
          <w:rFonts w:ascii="Calibri" w:hAnsi="Calibri"/>
          <w:color w:val="525866"/>
          <w:sz w:val="22"/>
        </w:rPr>
        <w:t>Sector ETF: CARZ (First Trust NASDAQ Global Auto Index Fund) — selected as the most relevant sub-sector ETF for global auto parts &amp; equipment exposure.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APTV (Indexed)</w:t>
            </w:r>
          </w:p>
        </w:tc>
        <w:tc>
          <w:tcPr>
            <w:tcW w:type="dxa" w:w="2160"/>
            <w:shd w:val="clear" w:color="auto" w:fill="3B4259"/>
          </w:tcPr>
          <w:p>
            <w:r>
              <w:rPr>
                <w:rFonts w:ascii="Calibri" w:hAnsi="Calibri"/>
                <w:b/>
                <w:color w:val="FFFFFF"/>
                <w:sz w:val="22"/>
              </w:rPr>
              <w:t>CARZ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 (Peak)</w:t>
            </w:r>
          </w:p>
        </w:tc>
        <w:tc>
          <w:tcPr>
            <w:tcW w:type="dxa" w:w="2160"/>
          </w:tcPr>
          <w:p>
            <w:r>
              <w:rPr>
                <w:rFonts w:ascii="Calibri" w:hAnsi="Calibri"/>
                <w:sz w:val="22"/>
              </w:rPr>
              <w:t>123.9</w:t>
            </w:r>
          </w:p>
        </w:tc>
        <w:tc>
          <w:tcPr>
            <w:tcW w:type="dxa" w:w="2160"/>
          </w:tcPr>
          <w:p>
            <w:r>
              <w:rPr>
                <w:rFonts w:ascii="Calibri" w:hAnsi="Calibri"/>
                <w:sz w:val="22"/>
              </w:rPr>
              <w:t>112.5</w:t>
            </w:r>
          </w:p>
        </w:tc>
        <w:tc>
          <w:tcPr>
            <w:tcW w:type="dxa" w:w="2160"/>
          </w:tcPr>
          <w:p>
            <w:r>
              <w:rPr>
                <w:rFonts w:ascii="Calibri" w:hAnsi="Calibri"/>
                <w:sz w:val="22"/>
              </w:rPr>
              <w:t>104.5</w:t>
            </w:r>
          </w:p>
        </w:tc>
      </w:tr>
      <w:tr>
        <w:tc>
          <w:tcPr>
            <w:tcW w:type="dxa" w:w="2160"/>
          </w:tcPr>
          <w:p>
            <w:r>
              <w:rPr>
                <w:rFonts w:ascii="Calibri" w:hAnsi="Calibri"/>
                <w:sz w:val="22"/>
              </w:rPr>
              <w:t>Jun 3, 2026 (APTV local high ~$76.82)</w:t>
            </w:r>
          </w:p>
        </w:tc>
        <w:tc>
          <w:tcPr>
            <w:tcW w:type="dxa" w:w="2160"/>
          </w:tcPr>
          <w:p>
            <w:r>
              <w:rPr>
                <w:rFonts w:ascii="Calibri" w:hAnsi="Calibri"/>
                <w:sz w:val="22"/>
              </w:rPr>
              <w:t>140.1</w:t>
            </w:r>
          </w:p>
        </w:tc>
        <w:tc>
          <w:tcPr>
            <w:tcW w:type="dxa" w:w="2160"/>
          </w:tcPr>
          <w:p>
            <w:r>
              <w:rPr>
                <w:rFonts w:ascii="Calibri" w:hAnsi="Calibri"/>
                <w:sz w:val="22"/>
              </w:rPr>
              <w:t>115.8</w:t>
            </w:r>
          </w:p>
        </w:tc>
        <w:tc>
          <w:tcPr>
            <w:tcW w:type="dxa" w:w="2160"/>
          </w:tcPr>
          <w:p>
            <w:r>
              <w:rPr>
                <w:rFonts w:ascii="Calibri" w:hAnsi="Calibri"/>
                <w:sz w:val="22"/>
              </w:rPr>
              <w:t>104.2</w:t>
            </w:r>
          </w:p>
        </w:tc>
      </w:tr>
      <w:tr>
        <w:tc>
          <w:tcPr>
            <w:tcW w:type="dxa" w:w="2160"/>
          </w:tcPr>
          <w:p>
            <w:r>
              <w:rPr>
                <w:rFonts w:ascii="Calibri" w:hAnsi="Calibri"/>
                <w:sz w:val="22"/>
              </w:rPr>
              <w:t>Jun 10, 2026 (Wells Fargo Conference)</w:t>
            </w:r>
          </w:p>
        </w:tc>
        <w:tc>
          <w:tcPr>
            <w:tcW w:type="dxa" w:w="2160"/>
          </w:tcPr>
          <w:p>
            <w:r>
              <w:rPr>
                <w:rFonts w:ascii="Calibri" w:hAnsi="Calibri"/>
                <w:sz w:val="22"/>
              </w:rPr>
              <w:t>118.9</w:t>
            </w:r>
          </w:p>
        </w:tc>
        <w:tc>
          <w:tcPr>
            <w:tcW w:type="dxa" w:w="2160"/>
          </w:tcPr>
          <w:p>
            <w:r>
              <w:rPr>
                <w:rFonts w:ascii="Calibri" w:hAnsi="Calibri"/>
                <w:sz w:val="22"/>
              </w:rPr>
              <w:t>102.1</w:t>
            </w:r>
          </w:p>
        </w:tc>
        <w:tc>
          <w:tcPr>
            <w:tcW w:type="dxa" w:w="2160"/>
          </w:tcPr>
          <w:p>
            <w:r>
              <w:rPr>
                <w:rFonts w:ascii="Calibri" w:hAnsi="Calibri"/>
                <w:sz w:val="22"/>
              </w:rPr>
              <w:t>100.2</w:t>
            </w:r>
          </w:p>
        </w:tc>
      </w:tr>
      <w:tr>
        <w:tc>
          <w:tcPr>
            <w:tcW w:type="dxa" w:w="2160"/>
          </w:tcPr>
          <w:p>
            <w:r>
              <w:rPr>
                <w:rFonts w:ascii="Calibri" w:hAnsi="Calibri"/>
                <w:sz w:val="22"/>
              </w:rPr>
              <w:t>Jun 30, 2026 (Q2 End)</w:t>
            </w:r>
          </w:p>
        </w:tc>
        <w:tc>
          <w:tcPr>
            <w:tcW w:type="dxa" w:w="2160"/>
          </w:tcPr>
          <w:p>
            <w:r>
              <w:rPr>
                <w:rFonts w:ascii="Calibri" w:hAnsi="Calibri"/>
                <w:sz w:val="22"/>
              </w:rPr>
              <w:t>111.9</w:t>
            </w:r>
          </w:p>
        </w:tc>
        <w:tc>
          <w:tcPr>
            <w:tcW w:type="dxa" w:w="2160"/>
          </w:tcPr>
          <w:p>
            <w:r>
              <w:rPr>
                <w:rFonts w:ascii="Calibri" w:hAnsi="Calibri"/>
                <w:sz w:val="22"/>
              </w:rPr>
              <w:t>111.8</w:t>
            </w:r>
          </w:p>
        </w:tc>
        <w:tc>
          <w:tcPr>
            <w:tcW w:type="dxa" w:w="2160"/>
          </w:tcPr>
          <w:p>
            <w:r>
              <w:rPr>
                <w:rFonts w:ascii="Calibri" w:hAnsi="Calibri"/>
                <w:sz w:val="22"/>
              </w:rPr>
              <w:t>103.2</w:t>
            </w:r>
          </w:p>
        </w:tc>
      </w:tr>
      <w:tr>
        <w:tc>
          <w:tcPr>
            <w:tcW w:type="dxa" w:w="2160"/>
          </w:tcPr>
          <w:p>
            <w:r>
              <w:rPr>
                <w:rFonts w:ascii="Calibri" w:hAnsi="Calibri"/>
                <w:sz w:val="22"/>
              </w:rPr>
              <w:t>Jul 31, 2026 (Period End)</w:t>
            </w:r>
          </w:p>
        </w:tc>
        <w:tc>
          <w:tcPr>
            <w:tcW w:type="dxa" w:w="2160"/>
          </w:tcPr>
          <w:p>
            <w:r>
              <w:rPr>
                <w:rFonts w:ascii="Calibri" w:hAnsi="Calibri"/>
                <w:sz w:val="22"/>
              </w:rPr>
              <w:t>103.0</w:t>
            </w:r>
          </w:p>
        </w:tc>
        <w:tc>
          <w:tcPr>
            <w:tcW w:type="dxa" w:w="2160"/>
          </w:tcPr>
          <w:p>
            <w:r>
              <w:rPr>
                <w:rFonts w:ascii="Calibri" w:hAnsi="Calibri"/>
                <w:sz w:val="22"/>
              </w:rPr>
              <w:t>96.4</w:t>
            </w:r>
          </w:p>
        </w:tc>
        <w:tc>
          <w:tcPr>
            <w:tcW w:type="dxa" w:w="2160"/>
          </w:tcPr>
          <w:p>
            <w:r>
              <w:rPr>
                <w:rFonts w:ascii="Calibri" w:hAnsi="Calibri"/>
                <w:sz w:val="22"/>
              </w:rPr>
              <w:t>103.2</w:t>
            </w:r>
          </w:p>
        </w:tc>
      </w:tr>
    </w:tbl>
    <w:p>
      <w:r>
        <w:rPr>
          <w:rFonts w:ascii="Calibri" w:hAnsi="Calibri"/>
          <w:b/>
          <w:color w:val="525866"/>
          <w:sz w:val="22"/>
        </w:rPr>
        <w:t>Key Events Annotated:</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Release — APTV beat EPS but stock dipped modestly; base = 100</w:t>
      </w:r>
    </w:p>
    <w:p>
      <w:pPr>
        <w:pStyle w:val="ListBullet"/>
        <w:ind w:left="360" w:hanging="360"/>
      </w:pPr>
      <w:r>
        <w:rPr>
          <w:rFonts w:ascii="Calibri" w:hAnsi="Calibri"/>
          <w:b/>
          <w:color w:val="525866"/>
          <w:sz w:val="22"/>
        </w:rPr>
        <w:t>Jun 3, 2026:</w:t>
      </w:r>
      <w:r>
        <w:rPr>
          <w:rFonts w:ascii="Calibri" w:hAnsi="Calibri"/>
          <w:color w:val="525866"/>
          <w:sz w:val="22"/>
        </w:rPr>
        <w:t xml:space="preserve"> APTV local high of $76.82 (+40% from earnings base) — driven by broader market rally and Versigent spin clarity</w:t>
      </w:r>
    </w:p>
    <w:p>
      <w:pPr>
        <w:pStyle w:val="ListBullet"/>
        <w:ind w:left="360" w:hanging="360"/>
      </w:pPr>
      <w:r>
        <w:rPr>
          <w:rFonts w:ascii="Calibri" w:hAnsi="Calibri"/>
          <w:b/>
          <w:color w:val="525866"/>
          <w:sz w:val="22"/>
        </w:rPr>
        <w:t>Jun 10, 2026:</w:t>
      </w:r>
      <w:r>
        <w:rPr>
          <w:rFonts w:ascii="Calibri" w:hAnsi="Calibri"/>
          <w:color w:val="525866"/>
          <w:sz w:val="22"/>
        </w:rPr>
        <w:t xml:space="preserve"> Wells Fargo Industrials &amp; Materials Conference — management reaffirmed guidance comfort; stock at $65.20 (-15% from peak)</w:t>
      </w:r>
    </w:p>
    <w:p>
      <w:pPr>
        <w:pStyle w:val="ListBullet"/>
        <w:ind w:left="360" w:hanging="360"/>
      </w:pPr>
      <w:r>
        <w:rPr>
          <w:rFonts w:ascii="Calibri" w:hAnsi="Calibri"/>
          <w:b/>
          <w:color w:val="525866"/>
          <w:sz w:val="22"/>
        </w:rPr>
        <w:t>Jul 7, 2026:</w:t>
      </w:r>
      <w:r>
        <w:rPr>
          <w:rFonts w:ascii="Calibri" w:hAnsi="Calibri"/>
          <w:color w:val="525866"/>
          <w:sz w:val="22"/>
        </w:rPr>
        <w:t xml:space="preserve"> APTV announced Q2 2026 earnings release date (August 4, 2026)</w:t>
      </w:r>
    </w:p>
    <w:p>
      <w:pPr>
        <w:pStyle w:val="ListBullet"/>
        <w:ind w:left="360" w:hanging="360"/>
      </w:pPr>
      <w:r>
        <w:rPr>
          <w:rFonts w:ascii="Calibri" w:hAnsi="Calibri"/>
          <w:b/>
          <w:color w:val="525866"/>
          <w:sz w:val="22"/>
        </w:rPr>
        <w:t>Jul 29, 2026:</w:t>
      </w:r>
      <w:r>
        <w:rPr>
          <w:rFonts w:ascii="Calibri" w:hAnsi="Calibri"/>
          <w:color w:val="525866"/>
          <w:sz w:val="22"/>
        </w:rPr>
        <w:t xml:space="preserve"> APTV presented at J.P. Morgan 2026 Auto Conference</w:t>
      </w:r>
    </w:p>
    <w:p>
      <w:pPr>
        <w:pStyle w:val="Heading3"/>
      </w:pPr>
      <w:r>
        <w:rPr>
          <w:rFonts w:ascii="Calibri" w:hAnsi="Calibri"/>
          <w:b/>
          <w:color w:val="3B4259"/>
          <w:sz w:val="24"/>
        </w:rPr>
        <w:t>Valuation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(NTM)</w:t>
            </w:r>
          </w:p>
        </w:tc>
        <w:tc>
          <w:tcPr>
            <w:tcW w:type="dxa" w:w="1440"/>
            <w:shd w:val="clear" w:color="auto" w:fill="3B4259"/>
          </w:tcPr>
          <w:p>
            <w:r>
              <w:rPr>
                <w:rFonts w:ascii="Calibri" w:hAnsi="Calibri"/>
                <w:b/>
                <w:color w:val="FFFFFF"/>
                <w:sz w:val="22"/>
              </w:rPr>
              <w:t>1M Ago</w:t>
            </w:r>
          </w:p>
        </w:tc>
        <w:tc>
          <w:tcPr>
            <w:tcW w:type="dxa" w:w="1440"/>
            <w:shd w:val="clear" w:color="auto" w:fill="3B4259"/>
          </w:tcPr>
          <w:p>
            <w:r>
              <w:rPr>
                <w:rFonts w:ascii="Calibri" w:hAnsi="Calibri"/>
                <w:b/>
                <w:color w:val="FFFFFF"/>
                <w:sz w:val="22"/>
              </w:rPr>
              <w:t>3M Ago</w:t>
            </w:r>
          </w:p>
        </w:tc>
        <w:tc>
          <w:tcPr>
            <w:tcW w:type="dxa" w:w="1440"/>
            <w:shd w:val="clear" w:color="auto" w:fill="3B4259"/>
          </w:tcPr>
          <w:p>
            <w:r>
              <w:rPr>
                <w:rFonts w:ascii="Calibri" w:hAnsi="Calibri"/>
                <w:b/>
                <w:color w:val="FFFFFF"/>
                <w:sz w:val="22"/>
              </w:rPr>
              <w:t>6M Ago</w:t>
            </w:r>
          </w:p>
        </w:tc>
        <w:tc>
          <w:tcPr>
            <w:tcW w:type="dxa" w:w="1440"/>
            <w:shd w:val="clear" w:color="auto" w:fill="3B4259"/>
          </w:tcPr>
          <w:p>
            <w:r>
              <w:rPr>
                <w:rFonts w:ascii="Calibri" w:hAnsi="Calibri"/>
                <w:b/>
                <w:color w:val="FFFFFF"/>
                <w:sz w:val="22"/>
              </w:rPr>
              <w:t>12M Ago</w:t>
            </w:r>
          </w:p>
        </w:tc>
      </w:tr>
      <w:tr>
        <w:tc>
          <w:tcPr>
            <w:tcW w:type="dxa" w:w="1440"/>
          </w:tcPr>
          <w:p>
            <w:r>
              <w:rPr>
                <w:rFonts w:ascii="Calibri" w:hAnsi="Calibri"/>
                <w:sz w:val="22"/>
              </w:rPr>
              <w:t>EV / EBITDA</w:t>
            </w:r>
          </w:p>
        </w:tc>
        <w:tc>
          <w:tcPr>
            <w:tcW w:type="dxa" w:w="1440"/>
          </w:tcPr>
          <w:p>
            <w:r>
              <w:rPr>
                <w:rFonts w:ascii="Calibri" w:hAnsi="Calibri"/>
                <w:sz w:val="22"/>
              </w:rPr>
              <w:t>7.1x</w:t>
            </w:r>
          </w:p>
        </w:tc>
        <w:tc>
          <w:tcPr>
            <w:tcW w:type="dxa" w:w="1440"/>
          </w:tcPr>
          <w:p>
            <w:r>
              <w:rPr>
                <w:rFonts w:ascii="Calibri" w:hAnsi="Calibri"/>
                <w:sz w:val="22"/>
              </w:rPr>
              <w:t>7.4x</w:t>
            </w:r>
          </w:p>
        </w:tc>
        <w:tc>
          <w:tcPr>
            <w:tcW w:type="dxa" w:w="1440"/>
          </w:tcPr>
          <w:p>
            <w:r>
              <w:rPr>
                <w:rFonts w:ascii="Calibri" w:hAnsi="Calibri"/>
                <w:sz w:val="22"/>
              </w:rPr>
              <w:t>7.2x</w:t>
            </w:r>
          </w:p>
        </w:tc>
        <w:tc>
          <w:tcPr>
            <w:tcW w:type="dxa" w:w="1440"/>
          </w:tcPr>
          <w:p>
            <w:r>
              <w:rPr>
                <w:rFonts w:ascii="Calibri" w:hAnsi="Calibri"/>
                <w:sz w:val="22"/>
              </w:rPr>
              <w:t>6.8x</w:t>
            </w:r>
          </w:p>
        </w:tc>
        <w:tc>
          <w:tcPr>
            <w:tcW w:type="dxa" w:w="1440"/>
          </w:tcPr>
          <w:p>
            <w:r>
              <w:rPr>
                <w:rFonts w:ascii="Calibri" w:hAnsi="Calibri"/>
                <w:sz w:val="22"/>
              </w:rPr>
              <w:t>6.7x</w:t>
            </w:r>
          </w:p>
        </w:tc>
      </w:tr>
      <w:tr>
        <w:tc>
          <w:tcPr>
            <w:tcW w:type="dxa" w:w="1440"/>
          </w:tcPr>
          <w:p>
            <w:r>
              <w:rPr>
                <w:rFonts w:ascii="Calibri" w:hAnsi="Calibri"/>
                <w:sz w:val="22"/>
              </w:rPr>
              <w:t>P / E</w:t>
            </w:r>
          </w:p>
        </w:tc>
        <w:tc>
          <w:tcPr>
            <w:tcW w:type="dxa" w:w="1440"/>
          </w:tcPr>
          <w:p>
            <w:r>
              <w:rPr>
                <w:rFonts w:ascii="Calibri" w:hAnsi="Calibri"/>
                <w:sz w:val="22"/>
              </w:rPr>
              <w:t>11.4x</w:t>
            </w:r>
          </w:p>
        </w:tc>
        <w:tc>
          <w:tcPr>
            <w:tcW w:type="dxa" w:w="1440"/>
          </w:tcPr>
          <w:p>
            <w:r>
              <w:rPr>
                <w:rFonts w:ascii="Calibri" w:hAnsi="Calibri"/>
                <w:sz w:val="22"/>
              </w:rPr>
              <w:t>12.5x</w:t>
            </w:r>
          </w:p>
        </w:tc>
        <w:tc>
          <w:tcPr>
            <w:tcW w:type="dxa" w:w="1440"/>
          </w:tcPr>
          <w:p>
            <w:r>
              <w:rPr>
                <w:rFonts w:ascii="Calibri" w:hAnsi="Calibri"/>
                <w:sz w:val="22"/>
              </w:rPr>
              <w:t>12.9x</w:t>
            </w:r>
          </w:p>
        </w:tc>
        <w:tc>
          <w:tcPr>
            <w:tcW w:type="dxa" w:w="1440"/>
          </w:tcPr>
          <w:p>
            <w:r>
              <w:rPr>
                <w:rFonts w:ascii="Calibri" w:hAnsi="Calibri"/>
                <w:sz w:val="22"/>
              </w:rPr>
              <w:t>11.1x</w:t>
            </w:r>
          </w:p>
        </w:tc>
        <w:tc>
          <w:tcPr>
            <w:tcW w:type="dxa" w:w="1440"/>
          </w:tcPr>
          <w:p>
            <w:r>
              <w:rPr>
                <w:rFonts w:ascii="Calibri" w:hAnsi="Calibri"/>
                <w:sz w:val="22"/>
              </w:rPr>
              <w:t>10.8x</w:t>
            </w:r>
          </w:p>
        </w:tc>
      </w:tr>
      <w:tr>
        <w:tc>
          <w:tcPr>
            <w:tcW w:type="dxa" w:w="1440"/>
          </w:tcPr>
          <w:p>
            <w:r>
              <w:rPr>
                <w:rFonts w:ascii="Calibri" w:hAnsi="Calibri"/>
                <w:sz w:val="22"/>
              </w:rPr>
              <w:t>EV / Sales</w:t>
            </w:r>
          </w:p>
        </w:tc>
        <w:tc>
          <w:tcPr>
            <w:tcW w:type="dxa" w:w="1440"/>
          </w:tcPr>
          <w:p>
            <w:r>
              <w:rPr>
                <w:rFonts w:ascii="Calibri" w:hAnsi="Calibri"/>
                <w:sz w:val="22"/>
              </w:rPr>
              <w:t>1.36x</w:t>
            </w:r>
          </w:p>
        </w:tc>
        <w:tc>
          <w:tcPr>
            <w:tcW w:type="dxa" w:w="1440"/>
          </w:tcPr>
          <w:p>
            <w:r>
              <w:rPr>
                <w:rFonts w:ascii="Calibri" w:hAnsi="Calibri"/>
                <w:sz w:val="22"/>
              </w:rPr>
              <w:t>1.38x</w:t>
            </w:r>
          </w:p>
        </w:tc>
        <w:tc>
          <w:tcPr>
            <w:tcW w:type="dxa" w:w="1440"/>
          </w:tcPr>
          <w:p>
            <w:r>
              <w:rPr>
                <w:rFonts w:ascii="Calibri" w:hAnsi="Calibri"/>
                <w:sz w:val="22"/>
              </w:rPr>
              <w:t>1.33x</w:t>
            </w:r>
          </w:p>
        </w:tc>
        <w:tc>
          <w:tcPr>
            <w:tcW w:type="dxa" w:w="1440"/>
          </w:tcPr>
          <w:p>
            <w:r>
              <w:rPr>
                <w:rFonts w:ascii="Calibri" w:hAnsi="Calibri"/>
                <w:sz w:val="22"/>
              </w:rPr>
              <w:t>1.10x</w:t>
            </w:r>
          </w:p>
        </w:tc>
        <w:tc>
          <w:tcPr>
            <w:tcW w:type="dxa" w:w="1440"/>
          </w:tcPr>
          <w:p>
            <w:r>
              <w:rPr>
                <w:rFonts w:ascii="Calibri" w:hAnsi="Calibri"/>
                <w:sz w:val="22"/>
              </w:rPr>
              <w:t>1.07x</w:t>
            </w:r>
          </w:p>
        </w:tc>
      </w:tr>
      <w:tr>
        <w:tc>
          <w:tcPr>
            <w:tcW w:type="dxa" w:w="1440"/>
          </w:tcPr>
          <w:p>
            <w:r>
              <w:rPr>
                <w:rFonts w:ascii="Calibri" w:hAnsi="Calibri"/>
                <w:sz w:val="22"/>
              </w:rPr>
              <w:t>P / FCF</w:t>
            </w:r>
          </w:p>
        </w:tc>
        <w:tc>
          <w:tcPr>
            <w:tcW w:type="dxa" w:w="1440"/>
          </w:tcPr>
          <w:p>
            <w:r>
              <w:rPr>
                <w:rFonts w:ascii="Calibri" w:hAnsi="Calibri"/>
                <w:sz w:val="22"/>
              </w:rPr>
              <w:t>11.2x</w:t>
            </w:r>
          </w:p>
        </w:tc>
        <w:tc>
          <w:tcPr>
            <w:tcW w:type="dxa" w:w="1440"/>
          </w:tcPr>
          <w:p>
            <w:r>
              <w:rPr>
                <w:rFonts w:ascii="Calibri" w:hAnsi="Calibri"/>
                <w:sz w:val="22"/>
              </w:rPr>
              <w:t>12.6x</w:t>
            </w:r>
          </w:p>
        </w:tc>
        <w:tc>
          <w:tcPr>
            <w:tcW w:type="dxa" w:w="1440"/>
          </w:tcPr>
          <w:p>
            <w:r>
              <w:rPr>
                <w:rFonts w:ascii="Calibri" w:hAnsi="Calibri"/>
                <w:sz w:val="22"/>
              </w:rPr>
              <w:t>11.4x</w:t>
            </w:r>
          </w:p>
        </w:tc>
        <w:tc>
          <w:tcPr>
            <w:tcW w:type="dxa" w:w="1440"/>
          </w:tcPr>
          <w:p>
            <w:r>
              <w:rPr>
                <w:rFonts w:ascii="Calibri" w:hAnsi="Calibri"/>
                <w:sz w:val="22"/>
              </w:rPr>
              <w:t>11.4x</w:t>
            </w:r>
          </w:p>
        </w:tc>
        <w:tc>
          <w:tcPr>
            <w:tcW w:type="dxa" w:w="1440"/>
          </w:tcPr>
          <w:p>
            <w:r>
              <w:rPr>
                <w:rFonts w:ascii="Calibri" w:hAnsi="Calibri"/>
                <w:sz w:val="22"/>
              </w:rPr>
              <w:t>11.2x</w:t>
            </w:r>
          </w:p>
        </w:tc>
      </w:tr>
      <w:tr>
        <w:tc>
          <w:tcPr>
            <w:tcW w:type="dxa" w:w="1440"/>
          </w:tcPr>
          <w:p>
            <w:r>
              <w:rPr>
                <w:rFonts w:ascii="Calibri" w:hAnsi="Calibri"/>
                <w:sz w:val="22"/>
              </w:rPr>
              <w:t>P / Book</w:t>
            </w:r>
          </w:p>
        </w:tc>
        <w:tc>
          <w:tcPr>
            <w:tcW w:type="dxa" w:w="1440"/>
          </w:tcPr>
          <w:p>
            <w:r>
              <w:rPr>
                <w:rFonts w:ascii="Calibri" w:hAnsi="Calibri"/>
                <w:sz w:val="22"/>
              </w:rPr>
              <w:t>1.15x</w:t>
            </w:r>
          </w:p>
        </w:tc>
        <w:tc>
          <w:tcPr>
            <w:tcW w:type="dxa" w:w="1440"/>
          </w:tcPr>
          <w:p>
            <w:r>
              <w:rPr>
                <w:rFonts w:ascii="Calibri" w:hAnsi="Calibri"/>
                <w:sz w:val="22"/>
              </w:rPr>
              <w:t>1.24x</w:t>
            </w:r>
          </w:p>
        </w:tc>
        <w:tc>
          <w:tcPr>
            <w:tcW w:type="dxa" w:w="1440"/>
          </w:tcPr>
          <w:p>
            <w:r>
              <w:rPr>
                <w:rFonts w:ascii="Calibri" w:hAnsi="Calibri"/>
                <w:sz w:val="22"/>
              </w:rPr>
              <w:t>1.16x</w:t>
            </w:r>
          </w:p>
        </w:tc>
        <w:tc>
          <w:tcPr>
            <w:tcW w:type="dxa" w:w="1440"/>
          </w:tcPr>
          <w:p>
            <w:r>
              <w:rPr>
                <w:rFonts w:ascii="Calibri" w:hAnsi="Calibri"/>
                <w:sz w:val="22"/>
              </w:rPr>
              <w:t>1.58x</w:t>
            </w:r>
          </w:p>
        </w:tc>
        <w:tc>
          <w:tcPr>
            <w:tcW w:type="dxa" w:w="1440"/>
          </w:tcPr>
          <w:p>
            <w:r>
              <w:rPr>
                <w:rFonts w:ascii="Calibri" w:hAnsi="Calibri"/>
                <w:sz w:val="22"/>
              </w:rPr>
              <w:t>1.33x</w:t>
            </w:r>
          </w:p>
        </w:tc>
      </w:tr>
    </w:tbl>
    <w:p>
      <w:r>
        <w:rPr>
          <w:rFonts w:ascii="Calibri" w:hAnsi="Calibri"/>
          <w:b/>
          <w:color w:val="525866"/>
          <w:sz w:val="22"/>
        </w:rPr>
        <w:t xml:space="preserve">Valuation Commentary: </w:t>
      </w:r>
      <w:r>
        <w:rPr>
          <w:rFonts w:ascii="Calibri" w:hAnsi="Calibri"/>
          <w:color w:val="525866"/>
          <w:sz w:val="22"/>
        </w:rPr>
        <w:t>APTV trades at 7.1x NTM EV/EBITDA and 11.4x NTM P/E — both well below the 10-year historical average of mid-teens P/E and ~9-10x EV/EBITDA for quality auto suppliers. The 6-month stock decline of -24.4% was driven primarily by earnings estimate compression (EPS consensus down ~30% YoY) rather than multiple contraction — EV/EBITDA has actually expanded modestly over 6 and 12 months as estimates fell faster than the stock. This creates a scenario where a credible H2 acceleration print could drive both estimate stabilization and multiple re-rating simultaneously.</w:t>
      </w:r>
    </w:p>
    <w:p>
      <w:r>
        <w:rPr>
          <w:rFonts w:ascii="Calibri" w:hAnsi="Calibri"/>
          <w:i/>
          <w:color w:val="525866"/>
          <w:sz w:val="22"/>
        </w:rPr>
        <w:t xml:space="preserve">Sources: </w:t>
      </w:r>
      <w:r>
        <w:rPr>
          <w:rFonts w:ascii="Calibri" w:hAnsi="Calibri"/>
          <w:i/>
          <w:color w:val="525866"/>
          <w:sz w:val="22"/>
        </w:rPr>
        <w:t>Stock Price Data (Yahoo Finance); NTM multiple decomposition data from Implied platform.</w:t>
      </w:r>
    </w:p>
    <w:p>
      <w:r>
        <w:br w:type="page"/>
      </w:r>
    </w:p>
    <w:p>
      <w:pPr>
        <w:pStyle w:val="Heading2"/>
      </w:pPr>
      <w:r>
        <w:rPr>
          <w:rFonts w:ascii="Calibri" w:hAnsi="Calibri"/>
          <w:b/>
          <w:color w:val="3B4259"/>
          <w:sz w:val="28"/>
        </w:rPr>
        <w:t>6. Peer Commentary — Q2 2026 Current-Quarter Read-Throughs</w:t>
      </w:r>
    </w:p>
    <w:p>
      <w:r>
        <w:rPr>
          <w:rFonts w:ascii="Calibri" w:hAnsi="Calibri"/>
          <w:b/>
          <w:color w:val="525866"/>
          <w:sz w:val="22"/>
        </w:rPr>
        <w:t xml:space="preserve">Key Takeaway: </w:t>
      </w:r>
      <w:r>
        <w:rPr>
          <w:rFonts w:ascii="Calibri" w:hAnsi="Calibri"/>
          <w:color w:val="525866"/>
          <w:sz w:val="22"/>
        </w:rPr>
        <w:t xml:space="preserve">Peers reporting Q2 2026 results in late July confirm the macro backdrop APTV guided to: global LVP down ~2-5% (weighted), China domestic market sharply weak (-15% to -20%), North America resilient, and commodity/DRAM cost pressures intensifying. </w:t>
      </w:r>
      <w:r>
        <w:rPr>
          <w:rFonts w:ascii="Calibri" w:hAnsi="Calibri"/>
          <w:b/>
          <w:color w:val="525866"/>
          <w:sz w:val="22"/>
        </w:rPr>
        <w:t>The read-through is mixed-to-cautiously-positive for APTV</w:t>
      </w:r>
      <w:r>
        <w:rPr>
          <w:rFonts w:ascii="Calibri" w:hAnsi="Calibri"/>
          <w:color w:val="525866"/>
          <w:sz w:val="22"/>
        </w:rPr>
        <w:t xml:space="preserve"> — the production environment is consistent with guidance, but peers' commentary on memory cost headwinds extending into 2027 and China weakness persisting into H2 are incremental risks.</w:t>
      </w:r>
    </w:p>
    <w:p>
      <w:r>
        <w:rPr>
          <w:rFonts w:ascii="Calibri" w:hAnsi="Calibri"/>
          <w:b/>
          <w:color w:val="525866"/>
          <w:sz w:val="22"/>
        </w:rPr>
        <w:t xml:space="preserve">Eligibility Note: </w:t>
      </w:r>
      <w:r>
        <w:rPr>
          <w:rFonts w:ascii="Calibri" w:hAnsi="Calibri"/>
          <w:color w:val="525866"/>
          <w:sz w:val="22"/>
        </w:rPr>
        <w:t>Only commentary from the last 60 days (June 3 – August 3, 2026) that explicitly addresses Q2 2026 operating conditions or forward current-quarter/H2 2026 demand is included below. Retrospective commentary limited to prior-period results (e.g., Q1 2025 results discussed on Q1 2025 earnings calls) is excluded. All peer companies report on a calendar-year basis (Q2 = April 1 – June 30, 2026) unless otherwise noted. Disclosure date (earnings call date) is distinguished from the operating period throughout.</w:t>
      </w:r>
    </w:p>
    <w:p>
      <w:pPr>
        <w:pStyle w:val="Heading3"/>
      </w:pPr>
      <w:r>
        <w:rPr>
          <w:rFonts w:ascii="Calibri" w:hAnsi="Calibri"/>
          <w:b/>
          <w:color w:val="3B4259"/>
          <w:sz w:val="24"/>
        </w:rPr>
        <w:t>6.1 Global Vehicle Production — Q2 2026 Actuals &amp; H2 Outlook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Disclosure Date</w:t>
            </w:r>
          </w:p>
        </w:tc>
        <w:tc>
          <w:tcPr>
            <w:tcW w:type="dxa" w:w="1440"/>
            <w:shd w:val="clear" w:color="auto" w:fill="3B4259"/>
          </w:tcPr>
          <w:p>
            <w:r>
              <w:rPr>
                <w:rFonts w:ascii="Calibri" w:hAnsi="Calibri"/>
                <w:b/>
                <w:color w:val="FFFFFF"/>
                <w:sz w:val="22"/>
              </w:rPr>
              <w:t>Operating Period</w:t>
            </w:r>
          </w:p>
        </w:tc>
        <w:tc>
          <w:tcPr>
            <w:tcW w:type="dxa" w:w="1440"/>
            <w:shd w:val="clear" w:color="auto" w:fill="3B4259"/>
          </w:tcPr>
          <w:p>
            <w:r>
              <w:rPr>
                <w:rFonts w:ascii="Calibri" w:hAnsi="Calibri"/>
                <w:b/>
                <w:color w:val="FFFFFF"/>
                <w:sz w:val="22"/>
              </w:rPr>
              <w:t>Q2 2026 LVP Commentary</w:t>
            </w:r>
          </w:p>
        </w:tc>
        <w:tc>
          <w:tcPr>
            <w:tcW w:type="dxa" w:w="1440"/>
            <w:shd w:val="clear" w:color="auto" w:fill="3B4259"/>
          </w:tcPr>
          <w:p>
            <w:r>
              <w:rPr>
                <w:rFonts w:ascii="Calibri" w:hAnsi="Calibri"/>
                <w:b/>
                <w:color w:val="FFFFFF"/>
                <w:sz w:val="22"/>
              </w:rPr>
              <w:t>H2 / Full-Year Outlook</w:t>
            </w:r>
          </w:p>
        </w:tc>
        <w:tc>
          <w:tcPr>
            <w:tcW w:type="dxa" w:w="1440"/>
            <w:shd w:val="clear" w:color="auto" w:fill="3B4259"/>
          </w:tcPr>
          <w:p>
            <w:r>
              <w:rPr>
                <w:rFonts w:ascii="Calibri" w:hAnsi="Calibri"/>
                <w:b/>
                <w:color w:val="FFFFFF"/>
                <w:sz w:val="22"/>
              </w:rPr>
              <w:t>APTV Read-Through</w:t>
            </w:r>
          </w:p>
        </w:tc>
      </w:tr>
      <w:tr>
        <w:tc>
          <w:tcPr>
            <w:tcW w:type="dxa" w:w="1440"/>
          </w:tcPr>
          <w:p>
            <w:r>
              <w:rPr>
                <w:rFonts w:ascii="Calibri" w:hAnsi="Calibri"/>
                <w:sz w:val="22"/>
              </w:rPr>
              <w:t>Visteon (VC)</w:t>
            </w:r>
          </w:p>
        </w:tc>
        <w:tc>
          <w:tcPr>
            <w:tcW w:type="dxa" w:w="1440"/>
          </w:tcPr>
          <w:p>
            <w:r>
              <w:rPr>
                <w:rFonts w:ascii="Calibri" w:hAnsi="Calibri"/>
                <w:sz w:val="22"/>
              </w:rPr>
              <w:t>Jul 23, 2026</w:t>
            </w:r>
          </w:p>
        </w:tc>
        <w:tc>
          <w:tcPr>
            <w:tcW w:type="dxa" w:w="1440"/>
          </w:tcPr>
          <w:p>
            <w:r>
              <w:rPr>
                <w:rFonts w:ascii="Calibri" w:hAnsi="Calibri"/>
                <w:sz w:val="22"/>
              </w:rPr>
              <w:t>Q2 2026 (Apr–Jun)</w:t>
            </w:r>
          </w:p>
        </w:tc>
        <w:tc>
          <w:tcPr>
            <w:tcW w:type="dxa" w:w="1440"/>
          </w:tcPr>
          <w:p>
            <w:r>
              <w:rPr>
                <w:rFonts w:ascii="Calibri" w:hAnsi="Calibri"/>
                <w:sz w:val="22"/>
              </w:rPr>
              <w:t>Customer vehicle production declined ~5% in Q2</w:t>
            </w:r>
          </w:p>
        </w:tc>
        <w:tc>
          <w:tcPr>
            <w:tcW w:type="dxa" w:w="1440"/>
          </w:tcPr>
          <w:p>
            <w:r>
              <w:rPr>
                <w:rFonts w:ascii="Calibri" w:hAnsi="Calibri"/>
                <w:sz w:val="22"/>
              </w:rPr>
              <w:t>Production forecasted down ~5% in H2; Europe strongest region with mid-teens sales growth despite lower production</w:t>
            </w:r>
          </w:p>
        </w:tc>
        <w:tc>
          <w:tcPr>
            <w:tcW w:type="dxa" w:w="1440"/>
          </w:tcPr>
          <w:p>
            <w:r>
              <w:rPr>
                <w:rFonts w:ascii="Calibri" w:hAnsi="Calibri"/>
                <w:sz w:val="22"/>
              </w:rPr>
              <w:t>Negative: Worse than APTV's -2% H1 assumption; but VC's customer mix skews differently</w:t>
            </w:r>
          </w:p>
        </w:tc>
      </w:tr>
      <w:tr>
        <w:tc>
          <w:tcPr>
            <w:tcW w:type="dxa" w:w="1440"/>
          </w:tcPr>
          <w:p>
            <w:r>
              <w:rPr>
                <w:rFonts w:ascii="Calibri" w:hAnsi="Calibri"/>
                <w:sz w:val="22"/>
              </w:rPr>
              <w:t>Magna (MGA)</w:t>
            </w:r>
          </w:p>
        </w:tc>
        <w:tc>
          <w:tcPr>
            <w:tcW w:type="dxa" w:w="1440"/>
          </w:tcPr>
          <w:p>
            <w:r>
              <w:rPr>
                <w:rFonts w:ascii="Calibri" w:hAnsi="Calibri"/>
                <w:sz w:val="22"/>
              </w:rPr>
              <w:t>Jul 31, 2026</w:t>
            </w:r>
          </w:p>
        </w:tc>
        <w:tc>
          <w:tcPr>
            <w:tcW w:type="dxa" w:w="1440"/>
          </w:tcPr>
          <w:p>
            <w:r>
              <w:rPr>
                <w:rFonts w:ascii="Calibri" w:hAnsi="Calibri"/>
                <w:sz w:val="22"/>
              </w:rPr>
              <w:t>Q2 2026 (Apr–Jun)</w:t>
            </w:r>
          </w:p>
        </w:tc>
        <w:tc>
          <w:tcPr>
            <w:tcW w:type="dxa" w:w="1440"/>
          </w:tcPr>
          <w:p>
            <w:r>
              <w:rPr>
                <w:rFonts w:ascii="Calibri" w:hAnsi="Calibri"/>
                <w:sz w:val="22"/>
              </w:rPr>
              <w:t>Global LVP declined 2% weighted in Q2</w:t>
            </w:r>
          </w:p>
        </w:tc>
        <w:tc>
          <w:tcPr>
            <w:tcW w:type="dxa" w:w="1440"/>
          </w:tcPr>
          <w:p>
            <w:r>
              <w:rPr>
                <w:rFonts w:ascii="Calibri" w:hAnsi="Calibri"/>
                <w:sz w:val="22"/>
              </w:rPr>
              <w:t>Full-year down ~2-3% weighted; China estimate cut 800K units; NA/Europe raised</w:t>
            </w:r>
          </w:p>
        </w:tc>
        <w:tc>
          <w:tcPr>
            <w:tcW w:type="dxa" w:w="1440"/>
          </w:tcPr>
          <w:p>
            <w:r>
              <w:rPr>
                <w:rFonts w:ascii="Calibri" w:hAnsi="Calibri"/>
                <w:sz w:val="22"/>
              </w:rPr>
              <w:t>Neutral: Consistent with APTV's -2% H1 Aptiv-weighted assumption</w:t>
            </w:r>
          </w:p>
        </w:tc>
      </w:tr>
      <w:tr>
        <w:tc>
          <w:tcPr>
            <w:tcW w:type="dxa" w:w="1440"/>
          </w:tcPr>
          <w:p>
            <w:r>
              <w:rPr>
                <w:rFonts w:ascii="Calibri" w:hAnsi="Calibri"/>
                <w:sz w:val="22"/>
              </w:rPr>
              <w:t>Lear (LEA)</w:t>
            </w:r>
          </w:p>
        </w:tc>
        <w:tc>
          <w:tcPr>
            <w:tcW w:type="dxa" w:w="1440"/>
          </w:tcPr>
          <w:p>
            <w:r>
              <w:rPr>
                <w:rFonts w:ascii="Calibri" w:hAnsi="Calibri"/>
                <w:sz w:val="22"/>
              </w:rPr>
              <w:t>Jul 31, 2026</w:t>
            </w:r>
          </w:p>
        </w:tc>
        <w:tc>
          <w:tcPr>
            <w:tcW w:type="dxa" w:w="1440"/>
          </w:tcPr>
          <w:p>
            <w:r>
              <w:rPr>
                <w:rFonts w:ascii="Calibri" w:hAnsi="Calibri"/>
                <w:sz w:val="22"/>
              </w:rPr>
              <w:t>Q2 2026 (Apr–Jun)</w:t>
            </w:r>
          </w:p>
        </w:tc>
        <w:tc>
          <w:tcPr>
            <w:tcW w:type="dxa" w:w="1440"/>
          </w:tcPr>
          <w:p>
            <w:r>
              <w:rPr>
                <w:rFonts w:ascii="Calibri" w:hAnsi="Calibri"/>
                <w:sz w:val="22"/>
              </w:rPr>
              <w:t>Global production down &lt;1% Lear-weighted in Q2</w:t>
            </w:r>
          </w:p>
        </w:tc>
        <w:tc>
          <w:tcPr>
            <w:tcW w:type="dxa" w:w="1440"/>
          </w:tcPr>
          <w:p>
            <w:r>
              <w:rPr>
                <w:rFonts w:ascii="Calibri" w:hAnsi="Calibri"/>
                <w:sz w:val="22"/>
              </w:rPr>
              <w:t>Full-year revised to down &lt;2% weighted; China weakness embedded in H2; NA truck resilience strong</w:t>
            </w:r>
          </w:p>
        </w:tc>
        <w:tc>
          <w:tcPr>
            <w:tcW w:type="dxa" w:w="1440"/>
          </w:tcPr>
          <w:p>
            <w:r>
              <w:rPr>
                <w:rFonts w:ascii="Calibri" w:hAnsi="Calibri"/>
                <w:sz w:val="22"/>
              </w:rPr>
              <w:t>Neutral-to-positive: Lear-weighted production better than feared; NA truck strength a positive read</w:t>
            </w:r>
          </w:p>
        </w:tc>
      </w:tr>
      <w:tr>
        <w:tc>
          <w:tcPr>
            <w:tcW w:type="dxa" w:w="1440"/>
          </w:tcPr>
          <w:p>
            <w:r>
              <w:rPr>
                <w:rFonts w:ascii="Calibri" w:hAnsi="Calibri"/>
                <w:sz w:val="22"/>
              </w:rPr>
              <w:t>Autoliv (ALV)</w:t>
            </w:r>
          </w:p>
        </w:tc>
        <w:tc>
          <w:tcPr>
            <w:tcW w:type="dxa" w:w="1440"/>
          </w:tcPr>
          <w:p>
            <w:r>
              <w:rPr>
                <w:rFonts w:ascii="Calibri" w:hAnsi="Calibri"/>
                <w:sz w:val="22"/>
              </w:rPr>
              <w:t>Jul 17, 2026</w:t>
            </w:r>
          </w:p>
        </w:tc>
        <w:tc>
          <w:tcPr>
            <w:tcW w:type="dxa" w:w="1440"/>
          </w:tcPr>
          <w:p>
            <w:r>
              <w:rPr>
                <w:rFonts w:ascii="Calibri" w:hAnsi="Calibri"/>
                <w:sz w:val="22"/>
              </w:rPr>
              <w:t>Q2 2026 (Apr–Jun)</w:t>
            </w:r>
          </w:p>
        </w:tc>
        <w:tc>
          <w:tcPr>
            <w:tcW w:type="dxa" w:w="1440"/>
          </w:tcPr>
          <w:p>
            <w:r>
              <w:rPr>
                <w:rFonts w:ascii="Calibri" w:hAnsi="Calibri"/>
                <w:sz w:val="22"/>
              </w:rPr>
              <w:t>Global LVP declined 0.3% in Q2 — ~160 bps better than April expectations</w:t>
            </w:r>
          </w:p>
        </w:tc>
        <w:tc>
          <w:tcPr>
            <w:tcW w:type="dxa" w:w="1440"/>
          </w:tcPr>
          <w:p>
            <w:r>
              <w:rPr>
                <w:rFonts w:ascii="Calibri" w:hAnsi="Calibri"/>
                <w:sz w:val="22"/>
              </w:rPr>
              <w:t>Full-year ~-2.5%; NA revised to -1%; China revised to -5%; significant Q4 profitability step-up expected</w:t>
            </w:r>
          </w:p>
        </w:tc>
        <w:tc>
          <w:tcPr>
            <w:tcW w:type="dxa" w:w="1440"/>
          </w:tcPr>
          <w:p>
            <w:r>
              <w:rPr>
                <w:rFonts w:ascii="Calibri" w:hAnsi="Calibri"/>
                <w:sz w:val="22"/>
              </w:rPr>
              <w:t>Positive: Q2 LVP better than feared; NA resilience and Q4 back-end loading consistent with APTV's H2 thesis</w:t>
            </w:r>
          </w:p>
        </w:tc>
      </w:tr>
      <w:tr>
        <w:tc>
          <w:tcPr>
            <w:tcW w:type="dxa" w:w="1440"/>
          </w:tcPr>
          <w:p>
            <w:r>
              <w:rPr>
                <w:rFonts w:ascii="Calibri" w:hAnsi="Calibri"/>
                <w:sz w:val="22"/>
              </w:rPr>
              <w:t>Gentex (GNTX)</w:t>
            </w:r>
          </w:p>
        </w:tc>
        <w:tc>
          <w:tcPr>
            <w:tcW w:type="dxa" w:w="1440"/>
          </w:tcPr>
          <w:p>
            <w:r>
              <w:rPr>
                <w:rFonts w:ascii="Calibri" w:hAnsi="Calibri"/>
                <w:sz w:val="22"/>
              </w:rPr>
              <w:t>Jul 24, 2026</w:t>
            </w:r>
          </w:p>
        </w:tc>
        <w:tc>
          <w:tcPr>
            <w:tcW w:type="dxa" w:w="1440"/>
          </w:tcPr>
          <w:p>
            <w:r>
              <w:rPr>
                <w:rFonts w:ascii="Calibri" w:hAnsi="Calibri"/>
                <w:sz w:val="22"/>
              </w:rPr>
              <w:t>Q2 2026 (Apr–Jun)</w:t>
            </w:r>
          </w:p>
        </w:tc>
        <w:tc>
          <w:tcPr>
            <w:tcW w:type="dxa" w:w="1440"/>
          </w:tcPr>
          <w:p>
            <w:r>
              <w:rPr>
                <w:rFonts w:ascii="Calibri" w:hAnsi="Calibri"/>
                <w:sz w:val="22"/>
              </w:rPr>
              <w:t>Global LVP expected to decline ~2% Q3, ~3% full year 2026</w:t>
            </w:r>
          </w:p>
        </w:tc>
        <w:tc>
          <w:tcPr>
            <w:tcW w:type="dxa" w:w="1440"/>
          </w:tcPr>
          <w:p>
            <w:r>
              <w:rPr>
                <w:rFonts w:ascii="Calibri" w:hAnsi="Calibri"/>
                <w:sz w:val="22"/>
              </w:rPr>
              <w:t>2027 LVP expected relatively flat; Europe difficult market conditions</w:t>
            </w:r>
          </w:p>
        </w:tc>
        <w:tc>
          <w:tcPr>
            <w:tcW w:type="dxa" w:w="1440"/>
          </w:tcPr>
          <w:p>
            <w:r>
              <w:rPr>
                <w:rFonts w:ascii="Calibri" w:hAnsi="Calibri"/>
                <w:sz w:val="22"/>
              </w:rPr>
              <w:t>Neutral: Full-year LVP trajectory consistent with APTV's assumptions</w:t>
            </w:r>
          </w:p>
        </w:tc>
      </w:tr>
      <w:tr>
        <w:tc>
          <w:tcPr>
            <w:tcW w:type="dxa" w:w="1440"/>
          </w:tcPr>
          <w:p>
            <w:r>
              <w:rPr>
                <w:rFonts w:ascii="Calibri" w:hAnsi="Calibri"/>
                <w:sz w:val="22"/>
              </w:rPr>
              <w:t>PHINIA (PHIN)</w:t>
            </w:r>
          </w:p>
        </w:tc>
        <w:tc>
          <w:tcPr>
            <w:tcW w:type="dxa" w:w="1440"/>
          </w:tcPr>
          <w:p>
            <w:r>
              <w:rPr>
                <w:rFonts w:ascii="Calibri" w:hAnsi="Calibri"/>
                <w:sz w:val="22"/>
              </w:rPr>
              <w:t>Jul 30, 2026</w:t>
            </w:r>
          </w:p>
        </w:tc>
        <w:tc>
          <w:tcPr>
            <w:tcW w:type="dxa" w:w="1440"/>
          </w:tcPr>
          <w:p>
            <w:r>
              <w:rPr>
                <w:rFonts w:ascii="Calibri" w:hAnsi="Calibri"/>
                <w:sz w:val="22"/>
              </w:rPr>
              <w:t>Q2 2026 (Apr–Jun)</w:t>
            </w:r>
          </w:p>
        </w:tc>
        <w:tc>
          <w:tcPr>
            <w:tcW w:type="dxa" w:w="1440"/>
          </w:tcPr>
          <w:p>
            <w:r>
              <w:rPr>
                <w:rFonts w:ascii="Calibri" w:hAnsi="Calibri"/>
                <w:sz w:val="22"/>
              </w:rPr>
              <w:t>Mixed macro; commercial vehicle and aftermarket demand steady</w:t>
            </w:r>
          </w:p>
        </w:tc>
        <w:tc>
          <w:tcPr>
            <w:tcW w:type="dxa" w:w="1440"/>
          </w:tcPr>
          <w:p>
            <w:r>
              <w:rPr>
                <w:rFonts w:ascii="Calibri" w:hAnsi="Calibri"/>
                <w:sz w:val="22"/>
              </w:rPr>
              <w:t>China light vehicle market down mid-teens; positive customer pricing secured</w:t>
            </w:r>
          </w:p>
        </w:tc>
        <w:tc>
          <w:tcPr>
            <w:tcW w:type="dxa" w:w="1440"/>
          </w:tcPr>
          <w:p>
            <w:r>
              <w:rPr>
                <w:rFonts w:ascii="Calibri" w:hAnsi="Calibri"/>
                <w:sz w:val="22"/>
              </w:rPr>
              <w:t>Neutral: China weakness consistent with APTV's China headwind narrative</w:t>
            </w:r>
          </w:p>
        </w:tc>
      </w:tr>
    </w:tbl>
    <w:p>
      <w:pPr>
        <w:pStyle w:val="Heading3"/>
      </w:pPr>
      <w:r>
        <w:rPr>
          <w:rFonts w:ascii="Calibri" w:hAnsi="Calibri"/>
          <w:b/>
          <w:color w:val="3B4259"/>
          <w:sz w:val="24"/>
        </w:rPr>
        <w:t>6.2 China — Q2 2026 Conditions &amp; H2 Outlook</w:t>
      </w:r>
    </w:p>
    <w:p>
      <w:r>
        <w:rPr>
          <w:rFonts w:ascii="Calibri" w:hAnsi="Calibri"/>
          <w:b/>
          <w:color w:val="525866"/>
          <w:sz w:val="22"/>
        </w:rPr>
        <w:t xml:space="preserve">Comparability Caveat: </w:t>
      </w:r>
      <w:r>
        <w:rPr>
          <w:rFonts w:ascii="Calibri" w:hAnsi="Calibri"/>
          <w:color w:val="525866"/>
          <w:sz w:val="22"/>
        </w:rPr>
        <w:t>APTV's China exposure is primarily through Intelligent Systems (ADAS, user experience) and Engineered Components (interconnect), with a mix skewed toward local Chinese OEMs and export-oriented platforms. Peers below have varying China exposure profiles; read-throughs are directional, not precise.</w:t>
      </w:r>
    </w:p>
    <w:p>
      <w:pPr>
        <w:pStyle w:val="ListBullet"/>
        <w:ind w:left="360" w:hanging="360"/>
      </w:pPr>
      <w:r>
        <w:rPr>
          <w:rFonts w:ascii="Calibri" w:hAnsi="Calibri"/>
          <w:b/>
          <w:color w:val="525866"/>
          <w:sz w:val="22"/>
        </w:rPr>
        <w:t>Lear (LEA) — Disclosed Jul 31, 2026 (Q2 2026 operating period):</w:t>
      </w:r>
      <w:r>
        <w:rPr>
          <w:rFonts w:ascii="Calibri" w:hAnsi="Calibri"/>
          <w:color w:val="525866"/>
          <w:sz w:val="22"/>
        </w:rPr>
        <w:t xml:space="preserve"> "Significant weakness in the China domestic market through the first half of this year" with domestic sales "down 20% through the first half." LEA embedded "continued weakness in China in the second half" into guidance, particularly on global customers. However, Chinese OEM exports are partially offsetting domestic weakness. </w:t>
      </w:r>
      <w:r>
        <w:rPr>
          <w:rFonts w:ascii="Calibri" w:hAnsi="Calibri"/>
          <w:b/>
          <w:color w:val="525866"/>
          <w:sz w:val="22"/>
        </w:rPr>
        <w:t>APTV Read-Through:</w:t>
      </w:r>
      <w:r>
        <w:rPr>
          <w:rFonts w:ascii="Calibri" w:hAnsi="Calibri"/>
          <w:color w:val="525866"/>
          <w:sz w:val="22"/>
        </w:rPr>
        <w:t xml:space="preserve"> Negative for APTV's global OEM China exposure; partially offset by APTV's deliberate pivot to local Chinese OEMs and export platforms. APTV guided China to turn positive in Q2 as program cancellations anniversary — LEA's commentary suggests the domestic market remains structurally challenged.</w:t>
      </w:r>
    </w:p>
    <w:p>
      <w:pPr>
        <w:pStyle w:val="ListBullet"/>
        <w:ind w:left="360" w:hanging="360"/>
      </w:pPr>
      <w:r>
        <w:rPr>
          <w:rFonts w:ascii="Calibri" w:hAnsi="Calibri"/>
          <w:b/>
          <w:color w:val="525866"/>
          <w:sz w:val="22"/>
        </w:rPr>
        <w:t>Magna (MGA) — Disclosed Jul 31, 2026 (Q2 2026 operating period):</w:t>
      </w:r>
      <w:r>
        <w:rPr>
          <w:rFonts w:ascii="Calibri" w:hAnsi="Calibri"/>
          <w:color w:val="525866"/>
          <w:sz w:val="22"/>
        </w:rPr>
        <w:t xml:space="preserve"> Reduced full-year China production estimate by 800,000 units. Monitoring DRAM costs specifically. </w:t>
      </w:r>
      <w:r>
        <w:rPr>
          <w:rFonts w:ascii="Calibri" w:hAnsi="Calibri"/>
          <w:b/>
          <w:color w:val="525866"/>
          <w:sz w:val="22"/>
        </w:rPr>
        <w:t>APTV Read-Through:</w:t>
      </w:r>
      <w:r>
        <w:rPr>
          <w:rFonts w:ascii="Calibri" w:hAnsi="Calibri"/>
          <w:color w:val="525866"/>
          <w:sz w:val="22"/>
        </w:rPr>
        <w:t xml:space="preserve"> Negative on China volume; neutral on DRAM (APTV has 2026 supply locked in at contracted prices).</w:t>
      </w:r>
    </w:p>
    <w:p>
      <w:pPr>
        <w:pStyle w:val="ListBullet"/>
        <w:ind w:left="360" w:hanging="360"/>
      </w:pPr>
      <w:r>
        <w:rPr>
          <w:rFonts w:ascii="Calibri" w:hAnsi="Calibri"/>
          <w:b/>
          <w:color w:val="525866"/>
          <w:sz w:val="22"/>
        </w:rPr>
        <w:t>Autoliv (ALV) — Disclosed Jul 17, 2026 (Q2 2026 operating period):</w:t>
      </w:r>
      <w:r>
        <w:rPr>
          <w:rFonts w:ascii="Calibri" w:hAnsi="Calibri"/>
          <w:color w:val="525866"/>
          <w:sz w:val="22"/>
        </w:rPr>
        <w:t xml:space="preserve"> S&amp;P Global lowered China LVP outlook to -5% for 2026, citing "reduced government incentives, ongoing macroeconomic headwinds and increasingly cautious consumer sentiment." High number of new launches in China in Q2, primarily with Chinese OEMs, expected to continue in H2. </w:t>
      </w:r>
      <w:r>
        <w:rPr>
          <w:rFonts w:ascii="Calibri" w:hAnsi="Calibri"/>
          <w:b/>
          <w:color w:val="525866"/>
          <w:sz w:val="22"/>
        </w:rPr>
        <w:t>APTV Read-Through:</w:t>
      </w:r>
      <w:r>
        <w:rPr>
          <w:rFonts w:ascii="Calibri" w:hAnsi="Calibri"/>
          <w:color w:val="525866"/>
          <w:sz w:val="22"/>
        </w:rPr>
        <w:t xml:space="preserve"> Mixed — China LVP worse than expected, but high launch activity with Chinese OEMs is a positive read for APTV's local OEM strategy.</w:t>
      </w:r>
    </w:p>
    <w:p>
      <w:pPr>
        <w:pStyle w:val="ListBullet"/>
        <w:ind w:left="360" w:hanging="360"/>
      </w:pPr>
      <w:r>
        <w:rPr>
          <w:rFonts w:ascii="Calibri" w:hAnsi="Calibri"/>
          <w:b/>
          <w:color w:val="525866"/>
          <w:sz w:val="22"/>
        </w:rPr>
        <w:t>Visteon (VC) — Disclosed Jul 23, 2026 (Q2 2026 operating period):</w:t>
      </w:r>
      <w:r>
        <w:rPr>
          <w:rFonts w:ascii="Calibri" w:hAnsi="Calibri"/>
          <w:color w:val="525866"/>
          <w:sz w:val="22"/>
        </w:rPr>
        <w:t xml:space="preserve"> China sales reflected "continued weakness in the value segment" following government policy changes and international OEM share loss. However, "premium domestic OEM segment remained considerably more resilient" — VC's strategy is increasingly aligned with premium domestic manufacturers. </w:t>
      </w:r>
      <w:r>
        <w:rPr>
          <w:rFonts w:ascii="Calibri" w:hAnsi="Calibri"/>
          <w:b/>
          <w:color w:val="525866"/>
          <w:sz w:val="22"/>
        </w:rPr>
        <w:t>APTV Read-Through:</w:t>
      </w:r>
      <w:r>
        <w:rPr>
          <w:rFonts w:ascii="Calibri" w:hAnsi="Calibri"/>
          <w:color w:val="525866"/>
          <w:sz w:val="22"/>
        </w:rPr>
        <w:t xml:space="preserve"> Positive for APTV's local OEM strategy — premium domestic OEM resilience validates APTV's focus on top-10 local OEMs and export-oriented customers.</w:t>
      </w:r>
    </w:p>
    <w:p>
      <w:pPr>
        <w:pStyle w:val="ListBullet"/>
        <w:ind w:left="360" w:hanging="360"/>
      </w:pPr>
      <w:r>
        <w:rPr>
          <w:rFonts w:ascii="Calibri" w:hAnsi="Calibri"/>
          <w:b/>
          <w:color w:val="525866"/>
          <w:sz w:val="22"/>
        </w:rPr>
        <w:t>Mobileye (MBLY) — Disclosed Jul 23, 2026 (Q2 2026 operating period):</w:t>
      </w:r>
      <w:r>
        <w:rPr>
          <w:rFonts w:ascii="Calibri" w:hAnsi="Calibri"/>
          <w:color w:val="525866"/>
          <w:sz w:val="22"/>
        </w:rPr>
        <w:t xml:space="preserve"> Chinese OEM exports are driving ADAS adoption in emerging markets, pushing legacy automakers to increase ADAS penetration rates globally. IQ volume outperformed top-10 customers by 8+ percentage points in Q2. </w:t>
      </w:r>
      <w:r>
        <w:rPr>
          <w:rFonts w:ascii="Calibri" w:hAnsi="Calibri"/>
          <w:b/>
          <w:color w:val="525866"/>
          <w:sz w:val="22"/>
        </w:rPr>
        <w:t>APTV Read-Through:</w:t>
      </w:r>
      <w:r>
        <w:rPr>
          <w:rFonts w:ascii="Calibri" w:hAnsi="Calibri"/>
          <w:color w:val="525866"/>
          <w:sz w:val="22"/>
        </w:rPr>
        <w:t xml:space="preserve"> Positive — Chinese OEM export-driven ADAS demand is a direct tailwind for APTV's ADAS business with Leapmotor and other export-oriented Chinese OEMs.</w:t>
      </w:r>
    </w:p>
    <w:p>
      <w:pPr>
        <w:pStyle w:val="Heading3"/>
      </w:pPr>
      <w:r>
        <w:rPr>
          <w:rFonts w:ascii="Calibri" w:hAnsi="Calibri"/>
          <w:b/>
          <w:color w:val="3B4259"/>
          <w:sz w:val="24"/>
        </w:rPr>
        <w:t>6.3 Commodities &amp; DRAM — Q2 2026 Cost Pressures</w:t>
      </w:r>
    </w:p>
    <w:p>
      <w:r>
        <w:rPr>
          <w:rFonts w:ascii="Calibri" w:hAnsi="Calibri"/>
          <w:b/>
          <w:color w:val="525866"/>
          <w:sz w:val="22"/>
        </w:rPr>
        <w:t xml:space="preserve">Comparability Caveat: </w:t>
      </w:r>
      <w:r>
        <w:rPr>
          <w:rFonts w:ascii="Calibri" w:hAnsi="Calibri"/>
          <w:color w:val="525866"/>
          <w:sz w:val="22"/>
        </w:rPr>
        <w:t>APTV's commodity exposure is primarily copper, gold, silver, and oil-linked resins (for Engineered Components) and DRAM/memory (for Intelligent Systems). Peers below have varying commodity profiles; DRAM read-throughs are most directly applicable to APTV's Intelligent Systems segment.</w:t>
      </w:r>
    </w:p>
    <w:p>
      <w:pPr>
        <w:pStyle w:val="ListBullet"/>
        <w:ind w:left="360" w:hanging="360"/>
      </w:pPr>
      <w:r>
        <w:rPr>
          <w:rFonts w:ascii="Calibri" w:hAnsi="Calibri"/>
          <w:b/>
          <w:color w:val="525866"/>
          <w:sz w:val="22"/>
        </w:rPr>
        <w:t>Visteon (VC) — Disclosed Jul 23, 2026 (Q2 2026 operating period):</w:t>
      </w:r>
      <w:r>
        <w:rPr>
          <w:rFonts w:ascii="Calibri" w:hAnsi="Calibri"/>
          <w:color w:val="525866"/>
          <w:sz w:val="22"/>
        </w:rPr>
        <w:t xml:space="preserve"> Memory cost increases are approximately 2.5% of sales. "Cost pressures initially seen in memory are now extending to other purchase components, making it difficult to fully offset inflation in 2026." Anticipates 2027 will be "quite challenging" for memory supply. Secured agreements with many customers to offset Q2 memory cost increases; expects to recover 100% of cost increases in 2027. </w:t>
      </w:r>
      <w:r>
        <w:rPr>
          <w:rFonts w:ascii="Calibri" w:hAnsi="Calibri"/>
          <w:b/>
          <w:color w:val="525866"/>
          <w:sz w:val="22"/>
        </w:rPr>
        <w:t>APTV Read-Through:</w:t>
      </w:r>
      <w:r>
        <w:rPr>
          <w:rFonts w:ascii="Calibri" w:hAnsi="Calibri"/>
          <w:color w:val="525866"/>
          <w:sz w:val="22"/>
        </w:rPr>
        <w:t xml:space="preserve"> Negative — VC's 2027 DRAM supply concern is consistent with APTV's own disclosure that 2027 prices will be "significantly higher" and will require customer pass-throughs. The cost pressure extending beyond memory is an incremental risk.</w:t>
      </w:r>
    </w:p>
    <w:p>
      <w:pPr>
        <w:pStyle w:val="ListBullet"/>
        <w:ind w:left="360" w:hanging="360"/>
      </w:pPr>
      <w:r>
        <w:rPr>
          <w:rFonts w:ascii="Calibri" w:hAnsi="Calibri"/>
          <w:b/>
          <w:color w:val="525866"/>
          <w:sz w:val="22"/>
        </w:rPr>
        <w:t>Magna (MGA) — Disclosed Jul 31, 2026 (Q2 2026 operating period):</w:t>
      </w:r>
      <w:r>
        <w:rPr>
          <w:rFonts w:ascii="Calibri" w:hAnsi="Calibri"/>
          <w:color w:val="525866"/>
          <w:sz w:val="22"/>
        </w:rPr>
        <w:t xml:space="preserve"> "Modest incremental cost headwinds across several key commodities and inputs" in H2. Specifically monitoring DRAM. Securing "improved economics" on new contracts by pricing for current economics. </w:t>
      </w:r>
      <w:r>
        <w:rPr>
          <w:rFonts w:ascii="Calibri" w:hAnsi="Calibri"/>
          <w:b/>
          <w:color w:val="525866"/>
          <w:sz w:val="22"/>
        </w:rPr>
        <w:t>APTV Read-Through:</w:t>
      </w:r>
      <w:r>
        <w:rPr>
          <w:rFonts w:ascii="Calibri" w:hAnsi="Calibri"/>
          <w:color w:val="525866"/>
          <w:sz w:val="22"/>
        </w:rPr>
        <w:t xml:space="preserve"> Neutral — MGA's ability to price new contracts for current economics is consistent with APTV's customer pass-through strategy.</w:t>
      </w:r>
    </w:p>
    <w:p>
      <w:pPr>
        <w:pStyle w:val="ListBullet"/>
        <w:ind w:left="360" w:hanging="360"/>
      </w:pPr>
      <w:r>
        <w:rPr>
          <w:rFonts w:ascii="Calibri" w:hAnsi="Calibri"/>
          <w:b/>
          <w:color w:val="525866"/>
          <w:sz w:val="22"/>
        </w:rPr>
        <w:t>Autoliv (ALV) — Disclosed Jul 17, 2026 (Q2 2026 operating period):</w:t>
      </w:r>
      <w:r>
        <w:rPr>
          <w:rFonts w:ascii="Calibri" w:hAnsi="Calibri"/>
          <w:color w:val="525866"/>
          <w:sz w:val="22"/>
        </w:rPr>
        <w:t xml:space="preserve"> Full-year guidance assumes ~$110M gross raw material headwind. Sees "inflationary pressure in the value chain as a result of the Persian Gulf" conflict. Customer compensation expected to be "weighted toward Q4, resulting in a significant step up in profitability in Q4." </w:t>
      </w:r>
      <w:r>
        <w:rPr>
          <w:rFonts w:ascii="Calibri" w:hAnsi="Calibri"/>
          <w:b/>
          <w:color w:val="525866"/>
          <w:sz w:val="22"/>
        </w:rPr>
        <w:t>APTV Read-Through:</w:t>
      </w:r>
      <w:r>
        <w:rPr>
          <w:rFonts w:ascii="Calibri" w:hAnsi="Calibri"/>
          <w:color w:val="525866"/>
          <w:sz w:val="22"/>
        </w:rPr>
        <w:t xml:space="preserve"> Neutral-to-positive — ALV's Q4 profitability step-up thesis mirrors APTV's H2 acceleration narrative; both companies are managing commodity headwinds through performance initiatives and customer recoveries.</w:t>
      </w:r>
    </w:p>
    <w:p>
      <w:pPr>
        <w:pStyle w:val="ListBullet"/>
        <w:ind w:left="360" w:hanging="360"/>
      </w:pPr>
      <w:r>
        <w:rPr>
          <w:rFonts w:ascii="Calibri" w:hAnsi="Calibri"/>
          <w:b/>
          <w:color w:val="525866"/>
          <w:sz w:val="22"/>
        </w:rPr>
        <w:t>Gentex (GNTX) — Disclosed Jul 24, 2026 (Q2 2026 operating period):</w:t>
      </w:r>
      <w:r>
        <w:rPr>
          <w:rFonts w:ascii="Calibri" w:hAnsi="Calibri"/>
          <w:color w:val="525866"/>
          <w:sz w:val="22"/>
        </w:rPr>
        <w:t xml:space="preserve"> Q2 gross margin benefited from ~$18M IEEPA tariff reimbursements. "Significantly higher precious metals costs" were a headwind. </w:t>
      </w:r>
      <w:r>
        <w:rPr>
          <w:rFonts w:ascii="Calibri" w:hAnsi="Calibri"/>
          <w:b/>
          <w:color w:val="525866"/>
          <w:sz w:val="22"/>
        </w:rPr>
        <w:t>APTV Read-Through:</w:t>
      </w:r>
      <w:r>
        <w:rPr>
          <w:rFonts w:ascii="Calibri" w:hAnsi="Calibri"/>
          <w:color w:val="525866"/>
          <w:sz w:val="22"/>
        </w:rPr>
        <w:t xml:space="preserve"> Negative — precious metals (gold, silver) cost pressure is directly applicable to APTV's Engineered Components segment; GNTX's experience suggests these headwinds are real and material.</w:t>
      </w:r>
    </w:p>
    <w:p>
      <w:pPr>
        <w:pStyle w:val="ListBullet"/>
        <w:ind w:left="360" w:hanging="360"/>
      </w:pPr>
      <w:r>
        <w:rPr>
          <w:rFonts w:ascii="Calibri" w:hAnsi="Calibri"/>
          <w:b/>
          <w:color w:val="525866"/>
          <w:sz w:val="22"/>
        </w:rPr>
        <w:t>Lear (LEA) — Disclosed Jul 31, 2026 (Q2 2026 operating period):</w:t>
      </w:r>
      <w:r>
        <w:rPr>
          <w:rFonts w:ascii="Calibri" w:hAnsi="Calibri"/>
          <w:color w:val="525866"/>
          <w:sz w:val="22"/>
        </w:rPr>
        <w:t xml:space="preserve"> Noted a lag in recovering higher copper prices, with a gap in Q3 before recovery in Q4. </w:t>
      </w:r>
      <w:r>
        <w:rPr>
          <w:rFonts w:ascii="Calibri" w:hAnsi="Calibri"/>
          <w:b/>
          <w:color w:val="525866"/>
          <w:sz w:val="22"/>
        </w:rPr>
        <w:t>APTV Read-Through:</w:t>
      </w:r>
      <w:r>
        <w:rPr>
          <w:rFonts w:ascii="Calibri" w:hAnsi="Calibri"/>
          <w:color w:val="525866"/>
          <w:sz w:val="22"/>
        </w:rPr>
        <w:t xml:space="preserve"> Negative for Q2/Q3 — copper recovery lag is directly applicable to APTV's Engineered Components segment; suggests commodity headwinds may persist into Q3 before customer recoveries kick in.</w:t>
      </w:r>
    </w:p>
    <w:p>
      <w:pPr>
        <w:pStyle w:val="Heading3"/>
      </w:pPr>
      <w:r>
        <w:rPr>
          <w:rFonts w:ascii="Calibri" w:hAnsi="Calibri"/>
          <w:b/>
          <w:color w:val="3B4259"/>
          <w:sz w:val="24"/>
        </w:rPr>
        <w:t>6.4 ADAS / Electrification / Program Launches — Q2 2026</w:t>
      </w:r>
    </w:p>
    <w:p>
      <w:pPr>
        <w:pStyle w:val="ListBullet"/>
        <w:ind w:left="360" w:hanging="360"/>
      </w:pPr>
      <w:r>
        <w:rPr>
          <w:rFonts w:ascii="Calibri" w:hAnsi="Calibri"/>
          <w:b/>
          <w:color w:val="525866"/>
          <w:sz w:val="22"/>
        </w:rPr>
        <w:t>Mobileye (MBLY) — Disclosed Jul 23, 2026 (Q2 2026 operating period):</w:t>
      </w:r>
      <w:r>
        <w:rPr>
          <w:rFonts w:ascii="Calibri" w:hAnsi="Calibri"/>
          <w:color w:val="525866"/>
          <w:sz w:val="22"/>
        </w:rPr>
        <w:t xml:space="preserve"> Won a "high volume 2027 program with cloud-enhanced ADAS" with Stellantis for highway hands-free driving. IQ volume outperformed top-10 customers by 8+ percentage points. Noted some push-out of advanced product samples into 2027. </w:t>
      </w:r>
      <w:r>
        <w:rPr>
          <w:rFonts w:ascii="Calibri" w:hAnsi="Calibri"/>
          <w:b/>
          <w:color w:val="525866"/>
          <w:sz w:val="22"/>
        </w:rPr>
        <w:t>APTV Read-Through:</w:t>
      </w:r>
      <w:r>
        <w:rPr>
          <w:rFonts w:ascii="Calibri" w:hAnsi="Calibri"/>
          <w:color w:val="525866"/>
          <w:sz w:val="22"/>
        </w:rPr>
        <w:t xml:space="preserve"> Positive — ADAS demand remains robust; MBLY's Stellantis win validates the ADAS market growth thesis. APTV's ADAS business (Intelligent Systems) should benefit from the same secular tailwind, though APTV competes on the software/integration layer rather than the chip level.</w:t>
      </w:r>
    </w:p>
    <w:p>
      <w:pPr>
        <w:pStyle w:val="ListBullet"/>
        <w:ind w:left="360" w:hanging="360"/>
      </w:pPr>
      <w:r>
        <w:rPr>
          <w:rFonts w:ascii="Calibri" w:hAnsi="Calibri"/>
          <w:b/>
          <w:color w:val="525866"/>
          <w:sz w:val="22"/>
        </w:rPr>
        <w:t>Visteon (VC) — Disclosed Jul 23, 2026 (Q2 2026 operating period):</w:t>
      </w:r>
      <w:r>
        <w:rPr>
          <w:rFonts w:ascii="Calibri" w:hAnsi="Calibri"/>
          <w:color w:val="525866"/>
          <w:sz w:val="22"/>
        </w:rPr>
        <w:t xml:space="preserve"> Secured another Smartcore HPC program with a premium Geely Group brand. ~60% of H1 new business wins from strategic SDV portfolio (cockpit domain controllers, HPC platforms, advanced displays). Successfully launched 24 new products across 11 automakers in Q2. </w:t>
      </w:r>
      <w:r>
        <w:rPr>
          <w:rFonts w:ascii="Calibri" w:hAnsi="Calibri"/>
          <w:b/>
          <w:color w:val="525866"/>
          <w:sz w:val="22"/>
        </w:rPr>
        <w:t>APTV Read-Through:</w:t>
      </w:r>
      <w:r>
        <w:rPr>
          <w:rFonts w:ascii="Calibri" w:hAnsi="Calibri"/>
          <w:color w:val="525866"/>
          <w:sz w:val="22"/>
        </w:rPr>
        <w:t xml:space="preserve"> Positive — strong SDV/HPC demand and Chinese OEM wins validate APTV's Intelligent Systems growth thesis. VC's launch execution (24 products in Q2) is a positive read for APTV's own program launch cadence.</w:t>
      </w:r>
    </w:p>
    <w:p>
      <w:pPr>
        <w:pStyle w:val="ListBullet"/>
        <w:ind w:left="360" w:hanging="360"/>
      </w:pPr>
      <w:r>
        <w:rPr>
          <w:rFonts w:ascii="Calibri" w:hAnsi="Calibri"/>
          <w:b/>
          <w:color w:val="525866"/>
          <w:sz w:val="22"/>
        </w:rPr>
        <w:t>Autoliv (ALV) — Disclosed Jul 17, 2026 (Q2 2026 operating period):</w:t>
      </w:r>
      <w:r>
        <w:rPr>
          <w:rFonts w:ascii="Calibri" w:hAnsi="Calibri"/>
          <w:color w:val="525866"/>
          <w:sz w:val="22"/>
        </w:rPr>
        <w:t xml:space="preserve"> High number of new launches in Q2, primarily in China with both Chinese and other OEMs. Expects high launch activity to continue in H2, mainly driven by Chinese OEMs. </w:t>
      </w:r>
      <w:r>
        <w:rPr>
          <w:rFonts w:ascii="Calibri" w:hAnsi="Calibri"/>
          <w:b/>
          <w:color w:val="525866"/>
          <w:sz w:val="22"/>
        </w:rPr>
        <w:t>APTV Read-Through:</w:t>
      </w:r>
      <w:r>
        <w:rPr>
          <w:rFonts w:ascii="Calibri" w:hAnsi="Calibri"/>
          <w:color w:val="525866"/>
          <w:sz w:val="22"/>
        </w:rPr>
        <w:t xml:space="preserve"> Positive — high Chinese OEM launch activity in Q2 and H2 is consistent with APTV's guidance for 300 bps of H2 revenue growth from program launches and ramps.</w:t>
      </w:r>
    </w:p>
    <w:p>
      <w:pPr>
        <w:pStyle w:val="ListBullet"/>
        <w:ind w:left="360" w:hanging="360"/>
      </w:pPr>
      <w:r>
        <w:rPr>
          <w:rFonts w:ascii="Calibri" w:hAnsi="Calibri"/>
          <w:b/>
          <w:color w:val="525866"/>
          <w:sz w:val="22"/>
        </w:rPr>
        <w:t>Magna (MGA) — Disclosed Jul 31, 2026 (Q2 2026 operating period):</w:t>
      </w:r>
      <w:r>
        <w:rPr>
          <w:rFonts w:ascii="Calibri" w:hAnsi="Calibri"/>
          <w:color w:val="525866"/>
          <w:sz w:val="22"/>
        </w:rPr>
        <w:t xml:space="preserve"> Awarded an 800V two-speed E-drive program with Chery Automotive and a Driver and Occupant Monitoring System with a European OEM. Noted end-of-production impacts from Ford Escape, Toyota Supra, BMW Z4. </w:t>
      </w:r>
      <w:r>
        <w:rPr>
          <w:rFonts w:ascii="Calibri" w:hAnsi="Calibri"/>
          <w:b/>
          <w:color w:val="525866"/>
          <w:sz w:val="22"/>
        </w:rPr>
        <w:t>APTV Read-Through:</w:t>
      </w:r>
      <w:r>
        <w:rPr>
          <w:rFonts w:ascii="Calibri" w:hAnsi="Calibri"/>
          <w:color w:val="525866"/>
          <w:sz w:val="22"/>
        </w:rPr>
        <w:t xml:space="preserve"> Positive on electrification demand; neutral on program roll-offs (APTV has its own program anniversary headwinds in China that should clear by end of Q2).</w:t>
      </w:r>
    </w:p>
    <w:p>
      <w:pPr>
        <w:pStyle w:val="Heading3"/>
      </w:pPr>
      <w:r>
        <w:rPr>
          <w:rFonts w:ascii="Calibri" w:hAnsi="Calibri"/>
          <w:b/>
          <w:color w:val="3B4259"/>
          <w:sz w:val="24"/>
        </w:rPr>
        <w:t>6.5 Near-Term Margin — Q2 2026 Peer Results</w:t>
      </w:r>
    </w:p>
    <w:p>
      <w:pPr>
        <w:pStyle w:val="ListBullet"/>
        <w:ind w:left="360" w:hanging="360"/>
      </w:pPr>
      <w:r>
        <w:rPr>
          <w:rFonts w:ascii="Calibri" w:hAnsi="Calibri"/>
          <w:b/>
          <w:color w:val="525866"/>
          <w:sz w:val="22"/>
        </w:rPr>
        <w:t>Magna (MGA) — Disclosed Jul 31, 2026:</w:t>
      </w:r>
      <w:r>
        <w:rPr>
          <w:rFonts w:ascii="Calibri" w:hAnsi="Calibri"/>
          <w:color w:val="525866"/>
          <w:sz w:val="22"/>
        </w:rPr>
        <w:t xml:space="preserve"> Adj. EBIT margin expanded 70 bps to 6.2% in Q2; raised full-year adj. EBIT margin outlook to 6.3-6.6%. Largest benefit from "operational performance, volume and other" (~75 bps). </w:t>
      </w:r>
      <w:r>
        <w:rPr>
          <w:rFonts w:ascii="Calibri" w:hAnsi="Calibri"/>
          <w:b/>
          <w:color w:val="525866"/>
          <w:sz w:val="22"/>
        </w:rPr>
        <w:t>APTV Read-Through:</w:t>
      </w:r>
      <w:r>
        <w:rPr>
          <w:rFonts w:ascii="Calibri" w:hAnsi="Calibri"/>
          <w:color w:val="525866"/>
          <w:sz w:val="22"/>
        </w:rPr>
        <w:t xml:space="preserve"> Positive — operational performance driving margin expansion despite volume headwinds is consistent with APTV's own performance-initiative narrative.</w:t>
      </w:r>
    </w:p>
    <w:p>
      <w:pPr>
        <w:pStyle w:val="ListBullet"/>
        <w:ind w:left="360" w:hanging="360"/>
      </w:pPr>
      <w:r>
        <w:rPr>
          <w:rFonts w:ascii="Calibri" w:hAnsi="Calibri"/>
          <w:b/>
          <w:color w:val="525866"/>
          <w:sz w:val="22"/>
        </w:rPr>
        <w:t>Visteon (VC) — Disclosed Jul 23, 2026:</w:t>
      </w:r>
      <w:r>
        <w:rPr>
          <w:rFonts w:ascii="Calibri" w:hAnsi="Calibri"/>
          <w:color w:val="525866"/>
          <w:sz w:val="22"/>
        </w:rPr>
        <w:t xml:space="preserve"> Adj. EBITDA margin of 12.1% in Q2 — best since Q3 2025 — driven by customer recoveries and cost discipline. Expects margins to improve throughout the rest of the year. Complex HPC programs have lower launch margins; improvement not expected until volumes ramp in 2028+. </w:t>
      </w:r>
      <w:r>
        <w:rPr>
          <w:rFonts w:ascii="Calibri" w:hAnsi="Calibri"/>
          <w:b/>
          <w:color w:val="525866"/>
          <w:sz w:val="22"/>
        </w:rPr>
        <w:t>APTV Read-Through:</w:t>
      </w:r>
      <w:r>
        <w:rPr>
          <w:rFonts w:ascii="Calibri" w:hAnsi="Calibri"/>
          <w:color w:val="525866"/>
          <w:sz w:val="22"/>
        </w:rPr>
        <w:t xml:space="preserve"> Mixed — recovery-driven margin improvement is positive, but VC's HPC launch margin headwind is a cautionary note for APTV's Intelligent Systems segment as it ramps new programs.</w:t>
      </w:r>
    </w:p>
    <w:p>
      <w:pPr>
        <w:pStyle w:val="ListBullet"/>
        <w:ind w:left="360" w:hanging="360"/>
      </w:pPr>
      <w:r>
        <w:rPr>
          <w:rFonts w:ascii="Calibri" w:hAnsi="Calibri"/>
          <w:b/>
          <w:color w:val="525866"/>
          <w:sz w:val="22"/>
        </w:rPr>
        <w:t>Lear (LEA) — Disclosed Jul 31, 2026:</w:t>
      </w:r>
      <w:r>
        <w:rPr>
          <w:rFonts w:ascii="Calibri" w:hAnsi="Calibri"/>
          <w:color w:val="525866"/>
          <w:sz w:val="22"/>
        </w:rPr>
        <w:t xml:space="preserve"> Total company margins expanded 20 bps; E-systems margins expanded 90 bps driven by 155 bps of net performance. Q3 margins expected lower than Q4 due to European seasonal shutdowns. </w:t>
      </w:r>
      <w:r>
        <w:rPr>
          <w:rFonts w:ascii="Calibri" w:hAnsi="Calibri"/>
          <w:b/>
          <w:color w:val="525866"/>
          <w:sz w:val="22"/>
        </w:rPr>
        <w:t>APTV Read-Through:</w:t>
      </w:r>
      <w:r>
        <w:rPr>
          <w:rFonts w:ascii="Calibri" w:hAnsi="Calibri"/>
          <w:color w:val="525866"/>
          <w:sz w:val="22"/>
        </w:rPr>
        <w:t xml:space="preserve"> Positive on performance-driven margin expansion; Q3 seasonal shutdown headwind is relevant for APTV's European exposure.</w:t>
      </w:r>
    </w:p>
    <w:p>
      <w:pPr>
        <w:pStyle w:val="ListBullet"/>
        <w:ind w:left="360" w:hanging="360"/>
      </w:pPr>
      <w:r>
        <w:rPr>
          <w:rFonts w:ascii="Calibri" w:hAnsi="Calibri"/>
          <w:b/>
          <w:color w:val="525866"/>
          <w:sz w:val="22"/>
        </w:rPr>
        <w:t>PHINIA (PHIN) — Disclosed Jul 30, 2026:</w:t>
      </w:r>
      <w:r>
        <w:rPr>
          <w:rFonts w:ascii="Calibri" w:hAnsi="Calibri"/>
          <w:color w:val="525866"/>
          <w:sz w:val="22"/>
        </w:rPr>
        <w:t xml:space="preserve"> Record gross margins of 23% in Q2; positive customer pricing. Net tariff expense and refunds contributed $11M to earnings, though ~half will be returned to customers. </w:t>
      </w:r>
      <w:r>
        <w:rPr>
          <w:rFonts w:ascii="Calibri" w:hAnsi="Calibri"/>
          <w:b/>
          <w:color w:val="525866"/>
          <w:sz w:val="22"/>
        </w:rPr>
        <w:t>APTV Read-Through:</w:t>
      </w:r>
      <w:r>
        <w:rPr>
          <w:rFonts w:ascii="Calibri" w:hAnsi="Calibri"/>
          <w:color w:val="525866"/>
          <w:sz w:val="22"/>
        </w:rPr>
        <w:t xml:space="preserve"> Positive on pricing power; tariff refund dynamics (partial customer pass-back) are relevant context for APTV's own tariff recovery discussions.</w:t>
      </w:r>
    </w:p>
    <w:p>
      <w:r>
        <w:rPr>
          <w:rFonts w:ascii="Calibri" w:hAnsi="Calibri"/>
          <w:i/>
          <w:color w:val="525866"/>
          <w:sz w:val="22"/>
        </w:rPr>
        <w:t xml:space="preserve">Sources: </w:t>
      </w:r>
      <w:r>
        <w:rPr>
          <w:rFonts w:ascii="Calibri" w:hAnsi="Calibri"/>
          <w:i/>
          <w:color w:val="525866"/>
          <w:sz w:val="22"/>
        </w:rPr>
        <w:t>LEA Q2 2026 Earnings Call (Jul 31, 2026); MGA Q2 2026 Earnings Call (Jul 31, 2026); VC Q2 2026 Earnings Call (Jul 23, 2026); MBLY Q2 2026 Earnings Call (Jul 23, 2026); ALV Q2 2026 Earnings Call (Jul 17, 2026); GNTX Q2 2026 Earnings Call (Jul 24, 2026); PHIN Q2 2026 Earnings Call (Jul 30, 2026). All peer companies report on a calendar-year basis (Q2 = April 1 – June 30, 2026). MOD Q1 FY2027 (fiscal quarter ending June 2026) also reviewed but commentary was primarily about Performance Technologies end-market demand and not directly comparable to APTV's automotive segments.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2026 Nvidia revenue-generating partnership — this shifts the non-auto narrative from aspirational to commercial, and any update on its traction at Q2 earnings could be a meaningful catalyst. The Versigent spin completion is the structural backdrop for all other developments.</w:t>
      </w:r>
    </w:p>
    <w:p>
      <w:pPr>
        <w:pStyle w:val="ListBullet"/>
        <w:ind w:left="360" w:hanging="360"/>
      </w:pPr>
      <w:r>
        <w:rPr>
          <w:rFonts w:ascii="Calibri" w:hAnsi="Calibri"/>
          <w:b/>
          <w:color w:val="525866"/>
          <w:sz w:val="22"/>
        </w:rPr>
        <w:t>April 1, 2026 — Versigent Spin-Off Completed:</w:t>
      </w:r>
      <w:r>
        <w:rPr>
          <w:rFonts w:ascii="Calibri" w:hAnsi="Calibri"/>
          <w:color w:val="525866"/>
          <w:sz w:val="22"/>
        </w:rPr>
        <w:t xml:space="preserve"> The EDS (Electrical Distribution System) segment was spun off as Versigent, completing Aptiv's transformation into New Aptiv. This is the structural event underpinning all Q2 2026 comparisons. New Aptiv now operates two segments: Engineered Components and Intelligent Systems. </w:t>
      </w:r>
      <w:r>
        <w:rPr>
          <w:rFonts w:ascii="Calibri" w:hAnsi="Calibri"/>
          <w:b/>
          <w:color w:val="525866"/>
          <w:sz w:val="22"/>
        </w:rPr>
        <w:t>Implication:</w:t>
      </w:r>
      <w:r>
        <w:rPr>
          <w:rFonts w:ascii="Calibri" w:hAnsi="Calibri"/>
          <w:color w:val="525866"/>
          <w:sz w:val="22"/>
        </w:rPr>
        <w:t xml:space="preserve"> Q2 2026 will be the first fully standalone New Aptiv quarter; YoY comparisons are not apples-to-apples vs. combined Aptiv. Stranded costs of $70M annualized are burdening New Aptiv from day one, with elimination targeted by end of 2027.</w:t>
      </w:r>
    </w:p>
    <w:p>
      <w:pPr>
        <w:pStyle w:val="ListBullet"/>
        <w:ind w:left="360" w:hanging="360"/>
      </w:pPr>
      <w:r>
        <w:rPr>
          <w:rFonts w:ascii="Calibri" w:hAnsi="Calibri"/>
          <w:b/>
          <w:color w:val="525866"/>
          <w:sz w:val="22"/>
        </w:rPr>
        <w:t>May 5, 2026 — Q1 2026 Earnings Release:</w:t>
      </w:r>
      <w:r>
        <w:rPr>
          <w:rFonts w:ascii="Calibri" w:hAnsi="Calibri"/>
          <w:color w:val="525866"/>
          <w:sz w:val="22"/>
        </w:rPr>
        <w:t xml:space="preserve"> Beat on EPS ($1.71 vs. $1.60 consensus) and revenue. Full-year guidance maintained. Commodity headwind assumption raised ~50 bps. Q2 guidance: revenue +2%, EBITDA $580M, EPS $1.40 (all at midpoints). ~$100M in Q2 separation costs flagged. </w:t>
      </w:r>
      <w:r>
        <w:rPr>
          <w:rFonts w:ascii="Calibri" w:hAnsi="Calibri"/>
          <w:b/>
          <w:color w:val="525866"/>
          <w:sz w:val="22"/>
        </w:rPr>
        <w:t>Implication:</w:t>
      </w:r>
      <w:r>
        <w:rPr>
          <w:rFonts w:ascii="Calibri" w:hAnsi="Calibri"/>
          <w:color w:val="525866"/>
          <w:sz w:val="22"/>
        </w:rPr>
        <w:t xml:space="preserve"> Sets the baseline for Q2 expectations; the $100M separation cost is a known Q2 headwind to reported (non-adjusted) results.</w:t>
      </w:r>
    </w:p>
    <w:p>
      <w:pPr>
        <w:pStyle w:val="ListBullet"/>
        <w:ind w:left="360" w:hanging="360"/>
      </w:pPr>
      <w:r>
        <w:rPr>
          <w:rFonts w:ascii="Calibri" w:hAnsi="Calibri"/>
          <w:b/>
          <w:color w:val="525866"/>
          <w:sz w:val="22"/>
        </w:rPr>
        <w:t>May 5, 2026 — Third Robotics Partnership (Comau) Announced:</w:t>
      </w:r>
      <w:r>
        <w:rPr>
          <w:rFonts w:ascii="Calibri" w:hAnsi="Calibri"/>
          <w:color w:val="525866"/>
          <w:sz w:val="22"/>
        </w:rPr>
        <w:t xml:space="preserve"> Aptiv announced a collaboration with Comau focused on AMRs, cobots, and AI-enabled warehouse/logistics automation, building on Comau's existing use of Wind River VxWorks in industrial controllers. Management clarified preference for AMRs over humanoids given technology maturity. </w:t>
      </w:r>
      <w:r>
        <w:rPr>
          <w:rFonts w:ascii="Calibri" w:hAnsi="Calibri"/>
          <w:b/>
          <w:color w:val="525866"/>
          <w:sz w:val="22"/>
        </w:rPr>
        <w:t>Implication:</w:t>
      </w:r>
      <w:r>
        <w:rPr>
          <w:rFonts w:ascii="Calibri" w:hAnsi="Calibri"/>
          <w:color w:val="525866"/>
          <w:sz w:val="22"/>
        </w:rPr>
        <w:t xml:space="preserve"> Adds to the non-auto commercial pipeline; management guided to commercial robotics award announcements in H2 2026 with revenue beginning late 2026 or early 2027.</w:t>
      </w:r>
    </w:p>
    <w:p>
      <w:pPr>
        <w:pStyle w:val="ListBullet"/>
        <w:ind w:left="360" w:hanging="360"/>
      </w:pPr>
      <w:r>
        <w:rPr>
          <w:rFonts w:ascii="Calibri" w:hAnsi="Calibri"/>
          <w:b/>
          <w:color w:val="525866"/>
          <w:sz w:val="22"/>
        </w:rPr>
        <w:t>June 2026 — Nvidia Revenue-Generating Partnership Announced:</w:t>
      </w:r>
      <w:r>
        <w:rPr>
          <w:rFonts w:ascii="Calibri" w:hAnsi="Calibri"/>
          <w:color w:val="525866"/>
          <w:sz w:val="22"/>
        </w:rPr>
        <w:t xml:space="preserve"> Aptiv announced a revenue-generating go-to-market collaboration with Nvidia, combining Aptiv middleware, Wind River VxWorks/Helix hypervisor, and perception/vision features on NVIDIA Jetson platforms (including next-gen Jetson Thor) targeting industrial automation, robotics, A&amp;D, automotive, and telecom markets. The 5G-to-6G transition was added as an explicit target opportunity. </w:t>
      </w:r>
      <w:r>
        <w:rPr>
          <w:rFonts w:ascii="Calibri" w:hAnsi="Calibri"/>
          <w:b/>
          <w:color w:val="525866"/>
          <w:sz w:val="22"/>
        </w:rPr>
        <w:t>Implication:</w:t>
      </w:r>
      <w:r>
        <w:rPr>
          <w:rFonts w:ascii="Calibri" w:hAnsi="Calibri"/>
          <w:color w:val="525866"/>
          <w:sz w:val="22"/>
        </w:rPr>
        <w:t xml:space="preserve"> This is the most significant post-Q1 development — management framed it as a revenue-generating effort, not a proof-of-concept. Any update on pipeline conversion or initial revenue at Q2 earnings would be a positive catalyst.</w:t>
      </w:r>
    </w:p>
    <w:p>
      <w:pPr>
        <w:pStyle w:val="ListBullet"/>
        <w:ind w:left="360" w:hanging="360"/>
      </w:pPr>
      <w:r>
        <w:rPr>
          <w:rFonts w:ascii="Calibri" w:hAnsi="Calibri"/>
          <w:b/>
          <w:color w:val="525866"/>
          <w:sz w:val="22"/>
        </w:rPr>
        <w:t>June 10, 2026 — Wells Fargo Industrials &amp; Materials Conference:</w:t>
      </w:r>
      <w:r>
        <w:rPr>
          <w:rFonts w:ascii="Calibri" w:hAnsi="Calibri"/>
          <w:color w:val="525866"/>
          <w:sz w:val="22"/>
        </w:rPr>
        <w:t xml:space="preserve"> CEO Kevin Clark and CFO Varun Laroyia reaffirmed comfort with full-year guidance despite S&amp;P/IHS production forecast cuts tied to Middle East conflict. No guidance update. Key disclosures: China expected to be fastest-growing market in 2026; H2 acceleration driven by 300 bps of program launches/ramps and 150 bps from China program anniversary; incremental margin on H2 revenue of ~26-27 points. </w:t>
      </w:r>
      <w:r>
        <w:rPr>
          <w:rFonts w:ascii="Calibri" w:hAnsi="Calibri"/>
          <w:b/>
          <w:color w:val="525866"/>
          <w:sz w:val="22"/>
        </w:rPr>
        <w:t>Implication:</w:t>
      </w:r>
      <w:r>
        <w:rPr>
          <w:rFonts w:ascii="Calibri" w:hAnsi="Calibri"/>
          <w:color w:val="525866"/>
          <w:sz w:val="22"/>
        </w:rPr>
        <w:t xml:space="preserve"> The most recent management commentary on Q2 conditions; the explicit comfort with guidance is the key data point heading into the print.</w:t>
      </w:r>
    </w:p>
    <w:p>
      <w:pPr>
        <w:pStyle w:val="ListBullet"/>
        <w:ind w:left="360" w:hanging="360"/>
      </w:pPr>
      <w:r>
        <w:rPr>
          <w:rFonts w:ascii="Calibri" w:hAnsi="Calibri"/>
          <w:b/>
          <w:color w:val="525866"/>
          <w:sz w:val="22"/>
        </w:rPr>
        <w:t>July 7, 2026 — Q2 2026 Earnings Date Announced:</w:t>
      </w:r>
      <w:r>
        <w:rPr>
          <w:rFonts w:ascii="Calibri" w:hAnsi="Calibri"/>
          <w:color w:val="525866"/>
          <w:sz w:val="22"/>
        </w:rPr>
        <w:t xml:space="preserve"> Aptiv announced Q2 2026 financial results will be released August 4, 2026, with an 8:00 AM ET earnings call. </w:t>
      </w:r>
      <w:r>
        <w:rPr>
          <w:rFonts w:ascii="Calibri" w:hAnsi="Calibri"/>
          <w:b/>
          <w:color w:val="525866"/>
          <w:sz w:val="22"/>
        </w:rPr>
        <w:t>Implication:</w:t>
      </w:r>
      <w:r>
        <w:rPr>
          <w:rFonts w:ascii="Calibri" w:hAnsi="Calibri"/>
          <w:color w:val="525866"/>
          <w:sz w:val="22"/>
        </w:rPr>
        <w:t xml:space="preserve"> Confirms the earnings date; no pre-announcement or guidance update accompanied the announcement.</w:t>
      </w:r>
    </w:p>
    <w:p>
      <w:pPr>
        <w:pStyle w:val="ListBullet"/>
        <w:ind w:left="360" w:hanging="360"/>
      </w:pPr>
      <w:r>
        <w:rPr>
          <w:rFonts w:ascii="Calibri" w:hAnsi="Calibri"/>
          <w:b/>
          <w:color w:val="525866"/>
          <w:sz w:val="22"/>
        </w:rPr>
        <w:t>July 29, 2026 — J.P. Morgan 2026 Auto Conference:</w:t>
      </w:r>
      <w:r>
        <w:rPr>
          <w:rFonts w:ascii="Calibri" w:hAnsi="Calibri"/>
          <w:color w:val="525866"/>
          <w:sz w:val="22"/>
        </w:rPr>
        <w:t xml:space="preserve"> Aptiv presented at the J.P. Morgan Auto Conference. No public transcript available at time of writing. </w:t>
      </w:r>
      <w:r>
        <w:rPr>
          <w:rFonts w:ascii="Calibri" w:hAnsi="Calibri"/>
          <w:b/>
          <w:color w:val="525866"/>
          <w:sz w:val="22"/>
        </w:rPr>
        <w:t>Implication:</w:t>
      </w:r>
      <w:r>
        <w:rPr>
          <w:rFonts w:ascii="Calibri" w:hAnsi="Calibri"/>
          <w:color w:val="525866"/>
          <w:sz w:val="22"/>
        </w:rPr>
        <w:t xml:space="preserve"> Most recent management appearance before Q2 earnings; any incremental commentary from this conference would be the freshest data point on Q2 conditions.</w:t>
      </w:r>
    </w:p>
    <w:p>
      <w:pPr>
        <w:pStyle w:val="ListBullet"/>
        <w:ind w:left="360" w:hanging="360"/>
      </w:pPr>
      <w:r>
        <w:rPr>
          <w:rFonts w:ascii="Calibri" w:hAnsi="Calibri"/>
          <w:b/>
          <w:color w:val="525866"/>
          <w:sz w:val="22"/>
        </w:rPr>
        <w:t>Ongoing — DRAM Supply &amp; Pricing Outlook:</w:t>
      </w:r>
      <w:r>
        <w:rPr>
          <w:rFonts w:ascii="Calibri" w:hAnsi="Calibri"/>
          <w:color w:val="525866"/>
          <w:sz w:val="22"/>
        </w:rPr>
        <w:t xml:space="preserve"> Management disclosed at Q1 earnings that 2027 DRAM prices will be "significantly higher" than 2026 and will be passed through to customers via back-to-back commitments. Visteon (Q2 earnings, Jul 23) confirmed 2027 DRAM supply will be "quite challenging" and expects to recover 100% of cost increases from customers. </w:t>
      </w:r>
      <w:r>
        <w:rPr>
          <w:rFonts w:ascii="Calibri" w:hAnsi="Calibri"/>
          <w:b/>
          <w:color w:val="525866"/>
          <w:sz w:val="22"/>
        </w:rPr>
        <w:t>Implication:</w:t>
      </w:r>
      <w:r>
        <w:rPr>
          <w:rFonts w:ascii="Calibri" w:hAnsi="Calibri"/>
          <w:color w:val="525866"/>
          <w:sz w:val="22"/>
        </w:rPr>
        <w:t xml:space="preserve"> 2027 DRAM pricing is a known headwind; the key question is whether customer pass-through agreements are in place and whether they protect margins.</w:t>
      </w:r>
    </w:p>
    <w:p>
      <w:pPr>
        <w:pStyle w:val="ListBullet"/>
        <w:ind w:left="360" w:hanging="360"/>
      </w:pPr>
      <w:r>
        <w:rPr>
          <w:rFonts w:ascii="Calibri" w:hAnsi="Calibri"/>
          <w:b/>
          <w:color w:val="525866"/>
          <w:sz w:val="22"/>
        </w:rPr>
        <w:t>Ongoing — Analyst Rating Activity:</w:t>
      </w:r>
      <w:r>
        <w:rPr>
          <w:rFonts w:ascii="Calibri" w:hAnsi="Calibri"/>
          <w:color w:val="525866"/>
          <w:sz w:val="22"/>
        </w:rPr>
        <w:t xml:space="preserve"> No analyst upgrades or downgrades were identified in the 60-day window prior to Q2 earnings (June 3 – August 3, 2026) based on available data. The absence of rating changes suggests the sell-side is in a wait-and-see posture ahead of the first fully standalone New Aptiv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limited and not alarming — two executive 10b5-1 planned sales (small in size relative to holdings) and one director open-market purchase. The director buy is a mild positive signal; the planned sales are obligation-driven and not discretionary.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Shares Owned Post-Tx</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Hakan Agnevall</w:t>
            </w:r>
          </w:p>
        </w:tc>
        <w:tc>
          <w:tcPr>
            <w:tcW w:type="dxa" w:w="1080"/>
          </w:tcPr>
          <w:p>
            <w:r>
              <w:rPr>
                <w:rFonts w:ascii="Calibri" w:hAnsi="Calibri"/>
                <w:sz w:val="22"/>
              </w:rPr>
              <w:t>Director</w:t>
            </w:r>
          </w:p>
        </w:tc>
        <w:tc>
          <w:tcPr>
            <w:tcW w:type="dxa" w:w="1080"/>
          </w:tcPr>
          <w:p>
            <w:r>
              <w:rPr>
                <w:rFonts w:ascii="Calibri" w:hAnsi="Calibri"/>
                <w:b/>
                <w:color w:val="30A46C"/>
                <w:sz w:val="22"/>
              </w:rPr>
              <w:t>Open Market Buy</w:t>
            </w:r>
          </w:p>
        </w:tc>
        <w:tc>
          <w:tcPr>
            <w:tcW w:type="dxa" w:w="1080"/>
          </w:tcPr>
          <w:p>
            <w:r>
              <w:rPr>
                <w:rFonts w:ascii="Calibri" w:hAnsi="Calibri"/>
                <w:sz w:val="22"/>
              </w:rPr>
              <w:t>6,100</w:t>
            </w:r>
          </w:p>
        </w:tc>
        <w:tc>
          <w:tcPr>
            <w:tcW w:type="dxa" w:w="1080"/>
          </w:tcPr>
          <w:p>
            <w:r>
              <w:rPr>
                <w:rFonts w:ascii="Calibri" w:hAnsi="Calibri"/>
                <w:sz w:val="22"/>
              </w:rPr>
              <w:t>May 8, 2026</w:t>
            </w:r>
          </w:p>
        </w:tc>
        <w:tc>
          <w:tcPr>
            <w:tcW w:type="dxa" w:w="1080"/>
          </w:tcPr>
          <w:p>
            <w:r>
              <w:rPr>
                <w:rFonts w:ascii="Calibri" w:hAnsi="Calibri"/>
                <w:sz w:val="22"/>
              </w:rPr>
              <w:t>May 12, 2026</w:t>
            </w:r>
          </w:p>
        </w:tc>
        <w:tc>
          <w:tcPr>
            <w:tcW w:type="dxa" w:w="1080"/>
          </w:tcPr>
          <w:p>
            <w:r>
              <w:rPr>
                <w:rFonts w:ascii="Calibri" w:hAnsi="Calibri"/>
                <w:sz w:val="22"/>
              </w:rPr>
              <w:t>13,697</w:t>
            </w:r>
          </w:p>
        </w:tc>
        <w:tc>
          <w:tcPr>
            <w:tcW w:type="dxa" w:w="1080"/>
          </w:tcPr>
          <w:p>
            <w:r>
              <w:rPr>
                <w:rFonts w:ascii="Calibri" w:hAnsi="Calibri"/>
                <w:sz w:val="22"/>
              </w:rPr>
              <w:t>Discretionary open-market purchase; not under 10b5-1 plan; director bought at ~$57-58/share shortly after Q1 earnings</w:t>
            </w:r>
          </w:p>
        </w:tc>
      </w:tr>
      <w:tr>
        <w:tc>
          <w:tcPr>
            <w:tcW w:type="dxa" w:w="1080"/>
          </w:tcPr>
          <w:p>
            <w:r>
              <w:rPr>
                <w:rFonts w:ascii="Calibri" w:hAnsi="Calibri"/>
                <w:sz w:val="22"/>
              </w:rPr>
              <w:t>Katherine H. Ramundo</w:t>
            </w:r>
          </w:p>
        </w:tc>
        <w:tc>
          <w:tcPr>
            <w:tcW w:type="dxa" w:w="1080"/>
          </w:tcPr>
          <w:p>
            <w:r>
              <w:rPr>
                <w:rFonts w:ascii="Calibri" w:hAnsi="Calibri"/>
                <w:sz w:val="22"/>
              </w:rPr>
              <w:t>EVP, CLO, CCO &amp; Secretary</w:t>
            </w:r>
          </w:p>
        </w:tc>
        <w:tc>
          <w:tcPr>
            <w:tcW w:type="dxa" w:w="1080"/>
          </w:tcPr>
          <w:p>
            <w:r>
              <w:rPr>
                <w:rFonts w:ascii="Calibri" w:hAnsi="Calibri"/>
                <w:sz w:val="22"/>
              </w:rPr>
              <w:t>10b5-1 Planned Sale</w:t>
            </w:r>
          </w:p>
        </w:tc>
        <w:tc>
          <w:tcPr>
            <w:tcW w:type="dxa" w:w="1080"/>
          </w:tcPr>
          <w:p>
            <w:r>
              <w:rPr>
                <w:rFonts w:ascii="Calibri" w:hAnsi="Calibri"/>
                <w:sz w:val="22"/>
              </w:rPr>
              <w:t>2,000</w:t>
            </w:r>
          </w:p>
        </w:tc>
        <w:tc>
          <w:tcPr>
            <w:tcW w:type="dxa" w:w="1080"/>
          </w:tcPr>
          <w:p>
            <w:r>
              <w:rPr>
                <w:rFonts w:ascii="Calibri" w:hAnsi="Calibri"/>
                <w:sz w:val="22"/>
              </w:rPr>
              <w:t>Jun 3, 2026</w:t>
            </w:r>
          </w:p>
        </w:tc>
        <w:tc>
          <w:tcPr>
            <w:tcW w:type="dxa" w:w="1080"/>
          </w:tcPr>
          <w:p>
            <w:r>
              <w:rPr>
                <w:rFonts w:ascii="Calibri" w:hAnsi="Calibri"/>
                <w:sz w:val="22"/>
              </w:rPr>
              <w:t>Jun 4, 2026</w:t>
            </w:r>
          </w:p>
        </w:tc>
        <w:tc>
          <w:tcPr>
            <w:tcW w:type="dxa" w:w="1080"/>
          </w:tcPr>
          <w:p>
            <w:r>
              <w:rPr>
                <w:rFonts w:ascii="Calibri" w:hAnsi="Calibri"/>
                <w:sz w:val="22"/>
              </w:rPr>
              <w:t>163,752</w:t>
            </w:r>
          </w:p>
        </w:tc>
        <w:tc>
          <w:tcPr>
            <w:tcW w:type="dxa" w:w="1080"/>
          </w:tcPr>
          <w:p>
            <w:r>
              <w:rPr>
                <w:rFonts w:ascii="Calibri" w:hAnsi="Calibri"/>
                <w:sz w:val="22"/>
              </w:rPr>
              <w:t>Pre-planned 10b5-1 sale; small relative to 163,752 shares retained (~1.2% of holdings); sold at ~$76/share near the local high</w:t>
            </w:r>
          </w:p>
        </w:tc>
      </w:tr>
      <w:tr>
        <w:tc>
          <w:tcPr>
            <w:tcW w:type="dxa" w:w="1080"/>
          </w:tcPr>
          <w:p>
            <w:r>
              <w:rPr>
                <w:rFonts w:ascii="Calibri" w:hAnsi="Calibri"/>
                <w:sz w:val="22"/>
              </w:rPr>
              <w:t>Obed D. Louissaint</w:t>
            </w:r>
          </w:p>
        </w:tc>
        <w:tc>
          <w:tcPr>
            <w:tcW w:type="dxa" w:w="1080"/>
          </w:tcPr>
          <w:p>
            <w:r>
              <w:rPr>
                <w:rFonts w:ascii="Calibri" w:hAnsi="Calibri"/>
                <w:sz w:val="22"/>
              </w:rPr>
              <w:t>EVP &amp; Chief People Officer</w:t>
            </w:r>
          </w:p>
        </w:tc>
        <w:tc>
          <w:tcPr>
            <w:tcW w:type="dxa" w:w="1080"/>
          </w:tcPr>
          <w:p>
            <w:r>
              <w:rPr>
                <w:rFonts w:ascii="Calibri" w:hAnsi="Calibri"/>
                <w:sz w:val="22"/>
              </w:rPr>
              <w:t>10b5-1 Planned Sale</w:t>
            </w:r>
          </w:p>
        </w:tc>
        <w:tc>
          <w:tcPr>
            <w:tcW w:type="dxa" w:w="1080"/>
          </w:tcPr>
          <w:p>
            <w:r>
              <w:rPr>
                <w:rFonts w:ascii="Calibri" w:hAnsi="Calibri"/>
                <w:sz w:val="22"/>
              </w:rPr>
              <w:t>3,000</w:t>
            </w:r>
          </w:p>
        </w:tc>
        <w:tc>
          <w:tcPr>
            <w:tcW w:type="dxa" w:w="1080"/>
          </w:tcPr>
          <w:p>
            <w:r>
              <w:rPr>
                <w:rFonts w:ascii="Calibri" w:hAnsi="Calibri"/>
                <w:sz w:val="22"/>
              </w:rPr>
              <w:t>Jun 15, 2026</w:t>
            </w:r>
          </w:p>
        </w:tc>
        <w:tc>
          <w:tcPr>
            <w:tcW w:type="dxa" w:w="1080"/>
          </w:tcPr>
          <w:p>
            <w:r>
              <w:rPr>
                <w:rFonts w:ascii="Calibri" w:hAnsi="Calibri"/>
                <w:sz w:val="22"/>
              </w:rPr>
              <w:t>Jun 16, 2026</w:t>
            </w:r>
          </w:p>
        </w:tc>
        <w:tc>
          <w:tcPr>
            <w:tcW w:type="dxa" w:w="1080"/>
          </w:tcPr>
          <w:p>
            <w:r>
              <w:rPr>
                <w:rFonts w:ascii="Calibri" w:hAnsi="Calibri"/>
                <w:sz w:val="22"/>
              </w:rPr>
              <w:t>210,803</w:t>
            </w:r>
          </w:p>
        </w:tc>
        <w:tc>
          <w:tcPr>
            <w:tcW w:type="dxa" w:w="1080"/>
          </w:tcPr>
          <w:p>
            <w:r>
              <w:rPr>
                <w:rFonts w:ascii="Calibri" w:hAnsi="Calibri"/>
                <w:sz w:val="22"/>
              </w:rPr>
              <w:t>Pre-planned 10b5-1 sale; small relative to 210,803 shares retained (~1.4% of holdings); routine plan execution</w:t>
            </w:r>
          </w:p>
        </w:tc>
      </w:tr>
    </w:tbl>
    <w:p>
      <w:r>
        <w:rPr>
          <w:rFonts w:ascii="Calibri" w:hAnsi="Calibri"/>
          <w:b/>
          <w:color w:val="525866"/>
          <w:sz w:val="22"/>
        </w:rPr>
        <w:t xml:space="preserve">Summary: </w:t>
      </w:r>
      <w:r>
        <w:rPr>
          <w:rFonts w:ascii="Calibri" w:hAnsi="Calibri"/>
          <w:color w:val="525866"/>
          <w:sz w:val="22"/>
        </w:rPr>
        <w:t>The most notable transaction is Director Hakan Agnevall's discretionary open-market purchase of 6,100 shares at ~$57-58 on May 8, 2026 — shortly after Q1 earnings and at a price close to current levels. This is a mild positive signal. The two executive 10b5-1 planned sales (Ramundo: 2,000 shares; Louissaint: 3,000 shares) are pre-scheduled, obligation-driven, and represent less than 1.5% of each insider's retained holdings — not a meaningful negative signal. No clustered selling or unusual transaction sizes were identified.</w:t>
      </w:r>
    </w:p>
    <w:p>
      <w:r>
        <w:rPr>
          <w:rFonts w:ascii="Calibri" w:hAnsi="Calibri"/>
          <w:i/>
          <w:color w:val="525866"/>
          <w:sz w:val="22"/>
        </w:rPr>
        <w:t xml:space="preserve">Sources: </w:t>
      </w:r>
      <w:r>
        <w:rPr>
          <w:rFonts w:ascii="Calibri" w:hAnsi="Calibri"/>
          <w:i/>
          <w:color w:val="525866"/>
          <w:sz w:val="22"/>
        </w:rPr>
        <w:t>SEC Form 4 filings: Agnevall (filed May 12, 2026); Ramundo (filed Jun 4, 2026); Louissaint (filed Jun 16, 2026). Insider Transaction Data via SEC EDGAR.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