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to-earnings-predictions--2026-08-05"/>
    <w:p>
      <w:pPr>
        <w:pStyle w:val="Heading1"/>
      </w:pPr>
      <w:r>
        <w:t xml:space="preserve">ATO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(fiscal Q3, Apr–Jun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1.30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1.24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Pipeline &amp; Storage (APT) segment net income / Waha through-system spread contribution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0.10</m:t>
              </m:r>
              <m:r>
                <m:t>Y</m:t>
              </m:r>
              <m:r>
                <m:t>o</m:t>
              </m:r>
              <m:r>
                <m:t>Y</m:t>
              </m:r>
              <m:r>
                <m:t>H</m:t>
              </m:r>
              <m:r>
                <m:t>2</m:t>
              </m:r>
              <m:r>
                <m:t>r</m:t>
              </m:r>
              <m:r>
                <m:t>u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t</m:t>
              </m:r>
              <m:r>
                <m:t>r</m:t>
              </m:r>
              <m:r>
                <m:t>a</m:t>
              </m:r>
              <m:r>
                <m:t>c</m:t>
              </m:r>
              <m:r>
                <m:t>k</m:t>
              </m:r>
              <m:r>
                <m:t>i</m:t>
              </m:r>
              <m:r>
                <m:t>n</m:t>
              </m:r>
              <m:r>
                <m:t>g</m:t>
              </m:r>
              <m:r>
                <m:t>h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n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revenue (fiscal Q3)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1.03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1.01B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8.50</m:t>
              </m:r>
              <m:r>
                <m:rPr>
                  <m:sty m:val="p"/>
                </m:rPr>
                <m:t>–</m:t>
              </m:r>
            </m:oMath>
            <w:r>
              <w:t xml:space="preserve">8.60 (raise/narrow to high end) vs. cons ~$8.49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APT through-system H2 contribution (Waha/Permian spreads)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0.10</m:t>
              </m:r>
              <m:r>
                <m:rPr>
                  <m:sty m:val="p"/>
                </m:rPr>
                <m:t>–</m:t>
              </m:r>
            </m:oMath>
            <w:r>
              <w:t xml:space="preserve">0.14 vs. prior/cons ~</w:t>
            </w:r>
            <m:oMath>
              <m:r>
                <m:t>0.08</m:t>
              </m:r>
              <m:r>
                <m:rPr>
                  <m:sty m:val="p"/>
                </m:rPr>
                <m:t>–</m:t>
              </m:r>
            </m:oMath>
            <w:r>
              <w:t xml:space="preserve">0.12 (H2 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base / long-term EPS growth algorithm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6–8% off ~$8.45 base vs. cons ~7% (FY2027)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capital expenditure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~</w:t>
            </w:r>
            <m:oMath>
              <m:r>
                <m:t>4.2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4.2B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A modest Q3 beat plus a high-end guidance narrowing on strong summer Waha spreads supports a small positive day-1 residual for this beaten-down, low-beta defensive name. Over 5 days the pop largely stabilizes: because management frames H2 as 'evenly by quarter,' a Q3 beat mechanically pulls implied Q4 estimates lower unless the full-year is raised, capping follow-through. Net FY26/FY27 revisions are only modestly higher (higher Waha base offset by out-period math and 'clean rebase, no further rebasing' framing), so gains hold but don't compound.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2026-08-05T01:24:53Z</dcterms:created>
  <dcterms:modified xsi:type="dcterms:W3CDTF">2026-08-05T01:24:53Z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