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ATO (Atmos Energy) before writing the preview. Let me gather recent transcripts, filings, guidance, and news.I'll read the most recent quarter (Q2 2026) transcript and release, plus the year-ago Q3 2025 for seasonal comparison.Let me get the year-ago Q3 2025 release for seasonal comparison and recent stock price data.Let me check for any recent news/filings and the APT rate case outcome since the last call.Let me quickly grab the coupon on the June senior notes for the financing picture.# Atmos Energy (ATO) — Fiscal 2026 Q3 Earnings Preview</w:t>
      </w:r>
    </w:p>
    <w:bookmarkStart w:id="9" w:name="Xa65ca3b7be19781dce13792bac2a15664f98131"/>
    <w:p>
      <w:pPr>
        <w:pStyle w:val="Heading3"/>
      </w:pPr>
      <w:r>
        <w:t xml:space="preserve">Report date: Wednesday, Aug 5, 2026 (release after close) | Call: Thursday, Aug 6, 10:00 a.m. ET | Quarter ended June 30, 2026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ATO enters its fiscal Q3 print with a</w:t>
      </w:r>
      <w:r>
        <w:t xml:space="preserve"> </w:t>
      </w:r>
      <w:r>
        <w:rPr>
          <w:b/>
          <w:bCs/>
        </w:rPr>
        <w:t xml:space="preserve">freshly raised full-year guide (</w:t>
      </w:r>
      <m:oMath>
        <m:r>
          <m:t>8.40</m:t>
        </m:r>
        <m:r>
          <m:rPr>
            <m:sty m:val="p"/>
          </m:rPr>
          <m:t>–</m:t>
        </m:r>
      </m:oMath>
      <w:r>
        <w:rPr>
          <w:b/>
          <w:bCs/>
        </w:rPr>
        <w:t xml:space="preserve">8.50)</w:t>
      </w:r>
      <w:r>
        <w:t xml:space="preserve">, a re-based dividend, and unusually strong Texas gas-pipeline economics — yet the stock has drifted lower into the print. The key questions are whether management</w:t>
      </w:r>
      <w:r>
        <w:t xml:space="preserve"> </w:t>
      </w:r>
      <w:r>
        <w:rPr>
          <w:b/>
          <w:bCs/>
        </w:rPr>
        <w:t xml:space="preserve">raises or narrows guidance again</w:t>
      </w:r>
      <w:r>
        <w:t xml:space="preserve"> </w:t>
      </w:r>
      <w:r>
        <w:t xml:space="preserve">on the back of summer Permian gas dynamics, and how much of the ~$600M of pending rate-case revenue actually lands in this quarter.</w:t>
      </w:r>
    </w:p>
    <w:p>
      <w:r>
        <w:pict>
          <v:rect style="width:0;height:1.5pt" o:hralign="center" o:hrstd="t" o:hr="t"/>
        </w:pict>
      </w:r>
    </w:p>
    <w:bookmarkEnd w:id="10"/>
    <w:bookmarkStart w:id="11" w:name="what-to-expect-on-the-numbers"/>
    <w:p>
      <w:pPr>
        <w:pStyle w:val="Heading2"/>
      </w:pPr>
      <w:r>
        <w:t xml:space="preserve">What to expect on the numbers</w:t>
      </w:r>
    </w:p>
    <w:p>
      <w:pPr>
        <w:pStyle w:val="FirstParagraph"/>
      </w:pPr>
      <w:r>
        <w:t xml:space="preserve">Because ATO's fiscal year ends September 30, this "Q3" covers</w:t>
      </w:r>
      <w:r>
        <w:t xml:space="preserve"> </w:t>
      </w:r>
      <w:r>
        <w:rPr>
          <w:b/>
          <w:bCs/>
        </w:rPr>
        <w:t xml:space="preserve">April–June 2026</w:t>
      </w:r>
      <w:r>
        <w:t xml:space="preserve"> </w:t>
      </w:r>
      <w:r>
        <w:t xml:space="preserve">— a shoulder/early-summer quarter that is seasonally light versus the winter heating quarters.</w:t>
      </w:r>
    </w:p>
    <w:p>
      <w:pPr>
        <w:pStyle w:val="BodyText"/>
      </w:pPr>
      <w:r>
        <w:rPr>
          <w:b/>
          <w:bCs/>
        </w:rPr>
        <w:t xml:space="preserve">Building the walk to an implied Q3 EPS:</w:t>
      </w:r>
    </w:p>
    <w:p>
      <w:pPr>
        <w:pStyle w:val="Compact"/>
        <w:numPr>
          <w:ilvl w:val="0"/>
          <w:numId w:val="1001"/>
        </w:numPr>
      </w:pPr>
      <w:r>
        <w:t xml:space="preserve">Q1 FY26 (Dec qtr): **</w:t>
      </w:r>
      <m:oMath>
        <m:r>
          <m:t>2.44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E</m:t>
        </m:r>
        <m:r>
          <m:t>P</m:t>
        </m:r>
        <m:r>
          <m:t>S</m:t>
        </m:r>
        <m:r>
          <m:rPr>
            <m:sty m:val="p"/>
          </m:rPr>
          <m:t>(</m:t>
        </m:r>
      </m:oMath>
      <w:r>
        <w:t xml:space="preserve">403.0M NI)</w:t>
      </w:r>
    </w:p>
    <w:p>
      <w:pPr>
        <w:pStyle w:val="Compact"/>
        <w:numPr>
          <w:ilvl w:val="0"/>
          <w:numId w:val="1001"/>
        </w:numPr>
      </w:pPr>
      <w:r>
        <w:t xml:space="preserve">H1 FY26 (through Mar): **</w:t>
      </w:r>
      <m:oMath>
        <m:r>
          <m:t>5.92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E</m:t>
        </m:r>
        <m:r>
          <m:t>P</m:t>
        </m:r>
        <m:r>
          <m:t>S</m:t>
        </m:r>
        <m:r>
          <m:rPr>
            <m:sty m:val="p"/>
          </m:rPr>
          <m:t>(</m:t>
        </m:r>
      </m:oMath>
      <w:r>
        <w:t xml:space="preserve">984.9M NI) → implies</w:t>
      </w:r>
      <w:r>
        <w:t xml:space="preserve"> </w:t>
      </w:r>
      <w:r>
        <w:rPr>
          <w:b/>
          <w:bCs/>
        </w:rPr>
        <w:t xml:space="preserve">~$3.48</w:t>
      </w:r>
      <w:r>
        <w:t xml:space="preserve"> </w:t>
      </w:r>
      <w:r>
        <w:t xml:space="preserve">in Q2 alone</w:t>
      </w:r>
    </w:p>
    <w:p>
      <w:pPr>
        <w:pStyle w:val="Compact"/>
        <w:numPr>
          <w:ilvl w:val="0"/>
          <w:numId w:val="1001"/>
        </w:numPr>
      </w:pPr>
      <w:r>
        <w:t xml:space="preserve">FY26 guidance: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rPr>
          <w:b/>
          <w:bCs/>
        </w:rPr>
        <w:t xml:space="preserve">8.50</w:t>
      </w:r>
      <w:r>
        <w:t xml:space="preserve">, with management guiding the remaining ~</w:t>
      </w:r>
      <m:oMath>
        <m:r>
          <m:t>2.48</m:t>
        </m:r>
        <m:r>
          <m:rPr>
            <m:sty m:val="p"/>
          </m:rPr>
          <m:t>–</m:t>
        </m:r>
      </m:oMath>
      <w:r>
        <w:t xml:space="preserve">2.58 to be recognized</w:t>
      </w:r>
      <w:r>
        <w:t xml:space="preserve"> </w:t>
      </w:r>
      <w:r>
        <w:rPr>
          <w:b/>
          <w:bCs/>
        </w:rPr>
        <w:t xml:space="preserve">"somewhat evenly by quarter"</w:t>
      </w:r>
      <w:r>
        <w:t xml:space="preserve"> </w:t>
      </w:r>
      <w:r>
        <w:t xml:space="preserve">across H2</w:t>
      </w:r>
    </w:p>
    <w:p>
      <w:pPr>
        <w:pStyle w:val="Compact"/>
        <w:numPr>
          <w:ilvl w:val="0"/>
          <w:numId w:val="1001"/>
        </w:numPr>
      </w:pPr>
      <w:r>
        <w:t xml:space="preserve">→</w:t>
      </w:r>
      <w:r>
        <w:t xml:space="preserve"> </w:t>
      </w:r>
      <w:r>
        <w:rPr>
          <w:b/>
          <w:bCs/>
        </w:rPr>
        <w:t xml:space="preserve">Implied fiscal Q3 EPS ≈</w:t>
      </w:r>
      <w:r>
        <w:rPr>
          <w:b/>
          <w:bCs/>
        </w:rPr>
        <w:t xml:space="preserve"> </w:t>
      </w:r>
      <m:oMath>
        <m:r>
          <m:t>1.24</m:t>
        </m:r>
        <m:r>
          <m:rPr>
            <m:sty m:val="p"/>
          </m:rPr>
          <m:t>–</m:t>
        </m:r>
      </m:oMath>
      <w:r>
        <w:rPr>
          <w:b/>
          <w:bCs/>
        </w:rPr>
        <w:t xml:space="preserve">1.29</w:t>
      </w:r>
    </w:p>
    <w:p>
      <w:pPr>
        <w:pStyle w:val="FirstParagraph"/>
      </w:pPr>
      <w:r>
        <w:rPr>
          <w:b/>
          <w:bCs/>
        </w:rPr>
        <w:t xml:space="preserve">Year-ago comp:</w:t>
      </w:r>
      <w:r>
        <w:t xml:space="preserve"> </w:t>
      </w:r>
      <w:r>
        <w:t xml:space="preserve">In fiscal Q3 2025, ATO reported YTD EPS of</w:t>
      </w:r>
      <w:r>
        <w:t xml:space="preserve"> </w:t>
      </w:r>
      <m:oMath>
        <m:r>
          <m:t>6.40</m:t>
        </m:r>
        <m:r>
          <m:rPr>
            <m:sty m:val="p"/>
          </m:rPr>
          <m:t>;</m:t>
        </m:r>
        <m:r>
          <m:t>b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g</m:t>
        </m:r>
        <m:r>
          <m:t>o</m:t>
        </m:r>
        <m:r>
          <m:t>u</m:t>
        </m:r>
        <m:r>
          <m:t>t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5.26 first half implies</w:t>
      </w:r>
      <w:r>
        <w:t xml:space="preserve"> </w:t>
      </w:r>
      <w:r>
        <w:rPr>
          <w:b/>
          <w:bCs/>
        </w:rPr>
        <w:t xml:space="preserve">~$1.14</w:t>
      </w:r>
      <w:r>
        <w:t xml:space="preserve"> </w:t>
      </w:r>
      <w:r>
        <w:t xml:space="preserve">in the year-ago quarter. So the setup is roughly</w:t>
      </w:r>
      <w:r>
        <w:t xml:space="preserve"> </w:t>
      </w:r>
      <w:r>
        <w:rPr>
          <w:b/>
          <w:bCs/>
        </w:rPr>
        <w:t xml:space="preserve">~9–13% YoY EPS growth</w:t>
      </w:r>
      <w:r>
        <w:t xml:space="preserve"> </w:t>
      </w:r>
      <w:r>
        <w:t xml:space="preserve">— consistent with ATO's 6–8% long-term algorithm plus the incremental lift from the Texas rulemaking (below).</w:t>
      </w:r>
    </w:p>
    <w:p>
      <w:pPr>
        <w:pStyle w:val="BodyText"/>
      </w:pPr>
      <w:r>
        <w:rPr>
          <w:b/>
          <w:bCs/>
        </w:rPr>
        <w:t xml:space="preserve">Bar / bias:</w:t>
      </w:r>
      <w:r>
        <w:t xml:space="preserve"> </w:t>
      </w:r>
      <w:r>
        <w:t xml:space="preserve">Given management explicitly framed H2 as "evenly by quarter," a clean in-line-to-slightly-ahead Q3 is the base case. The more important signal will be the</w:t>
      </w:r>
      <w:r>
        <w:t xml:space="preserve"> </w:t>
      </w:r>
      <w:r>
        <w:rPr>
          <w:b/>
          <w:bCs/>
        </w:rPr>
        <w:t xml:space="preserve">guidance update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APT commentary</w:t>
      </w:r>
      <w:r>
        <w:t xml:space="preserve">, not the reported EPS itself.</w:t>
      </w:r>
    </w:p>
    <w:p>
      <w:r>
        <w:pict>
          <v:rect style="width:0;height:1.5pt" o:hralign="center" o:hrstd="t" o:hr="t"/>
        </w:pict>
      </w:r>
    </w:p>
    <w:bookmarkEnd w:id="11"/>
    <w:bookmarkStart w:id="15" w:name="the-three-swing-factors-to-watch"/>
    <w:p>
      <w:pPr>
        <w:pStyle w:val="Heading2"/>
      </w:pPr>
      <w:r>
        <w:t xml:space="preserve">The three swing factors to watch</w:t>
      </w:r>
    </w:p>
    <w:bookmarkStart w:id="12" w:name="Xe16c2916aa6a8cbe7e86a97199cf8715605b9a2"/>
    <w:p>
      <w:pPr>
        <w:pStyle w:val="Heading3"/>
      </w:pPr>
      <w:r>
        <w:t xml:space="preserve">1. APT through-system spreads (Waha / Permian) — the real wildcard</w:t>
      </w:r>
    </w:p>
    <w:p>
      <w:pPr>
        <w:pStyle w:val="FirstParagraph"/>
      </w:pPr>
      <w:r>
        <w:t xml:space="preserve">This is where the upside optionality lives. Management noted first-half spreads averaged</w:t>
      </w:r>
      <w:r>
        <w:t xml:space="preserve"> </w:t>
      </w:r>
      <w:r>
        <w:rPr>
          <w:b/>
          <w:bCs/>
        </w:rPr>
        <w:t xml:space="preserve">$4.35 vs.</w:t>
      </w:r>
      <w:r>
        <w:rPr>
          <w:b/>
          <w:bCs/>
        </w:rPr>
        <w:t xml:space="preserve"> </w:t>
      </w:r>
      <m:oMath>
        <m:r>
          <m:t>1.80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e</m:t>
        </m:r>
        <m:r>
          <m:t>a</m:t>
        </m:r>
        <m:r>
          <m:t>r</m:t>
        </m:r>
        <m:r>
          <m:t>l</m:t>
        </m:r>
        <m:r>
          <m:t>i</m:t>
        </m:r>
        <m:r>
          <m:t>e</m:t>
        </m:r>
        <m:r>
          <m:t>r</m:t>
        </m:r>
        <m:r>
          <m:rPr>
            <m:sty m:val="p"/>
          </m:rPr>
          <m:t>(</m:t>
        </m:r>
        <m:r>
          <m:t>d</m:t>
        </m:r>
        <m:r>
          <m:t>r</m:t>
        </m:r>
        <m:r>
          <m:t>i</m:t>
        </m:r>
        <m:r>
          <m:t>v</m:t>
        </m:r>
        <m:r>
          <m:t>e</m:t>
        </m:r>
        <m:r>
          <m:t>n</m:t>
        </m:r>
        <m:r>
          <m:t>b</m:t>
        </m:r>
        <m:r>
          <m:t>y</m:t>
        </m:r>
        <m:r>
          <m:t>r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a</m:t>
        </m:r>
        <m:r>
          <m:t>s</m:t>
        </m:r>
        <m:r>
          <m:t>s</m:t>
        </m:r>
        <m:r>
          <m:t>o</m:t>
        </m:r>
        <m:r>
          <m:t>c</m:t>
        </m:r>
        <m:r>
          <m:t>i</m:t>
        </m:r>
        <m:r>
          <m:t>a</m:t>
        </m:r>
        <m:r>
          <m:t>t</m:t>
        </m:r>
        <m:r>
          <m:t>e</m:t>
        </m:r>
        <m:r>
          <m:t>d</m:t>
        </m:r>
        <m:r>
          <m:t>g</m:t>
        </m:r>
        <m:r>
          <m:t>a</m:t>
        </m:r>
        <m:r>
          <m:t>s</m:t>
        </m:r>
        <m:r>
          <m:t>p</m:t>
        </m:r>
        <m:r>
          <m:t>r</m:t>
        </m:r>
        <m:r>
          <m:t>o</m:t>
        </m:r>
        <m:r>
          <m:t>d</m:t>
        </m:r>
        <m:r>
          <m:t>u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c</m:t>
        </m:r>
        <m:r>
          <m:t>o</m:t>
        </m:r>
        <m:r>
          <m:t>n</m:t>
        </m:r>
        <m:r>
          <m:t>s</m:t>
        </m:r>
        <m:r>
          <m:t>t</m:t>
        </m:r>
        <m:r>
          <m:t>r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t</m:t>
        </m:r>
        <m:r>
          <m:t>a</m:t>
        </m:r>
        <m:r>
          <m:t>k</m:t>
        </m:r>
        <m:r>
          <m:t>e</m:t>
        </m:r>
        <m:r>
          <m:t>a</m:t>
        </m:r>
        <m:r>
          <m:t>w</m:t>
        </m:r>
        <m:r>
          <m:t>a</m:t>
        </m:r>
        <m:r>
          <m:t>y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w</m:t>
        </m:r>
        <m:r>
          <m:t>a</m:t>
        </m:r>
        <m:r>
          <m:t>r</m:t>
        </m:r>
        <m:r>
          <m:t>m</m:t>
        </m:r>
        <m:r>
          <m:rPr>
            <m:sty m:val="p"/>
          </m:rPr>
          <m:t>−</m:t>
        </m:r>
        <m:r>
          <m:t>w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d</m:t>
        </m:r>
        <m:r>
          <m:t>e</m:t>
        </m:r>
        <m:r>
          <m:t>m</m:t>
        </m:r>
        <m:r>
          <m:t>a</m:t>
        </m:r>
        <m:r>
          <m:t>n</m:t>
        </m:r>
        <m:r>
          <m:t>d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rPr>
            <m:sty m:val="p"/>
          </m:rPr>
          <m:t>−</m:t>
        </m:r>
        <m:r>
          <m:t>s</m:t>
        </m:r>
        <m:r>
          <m:t>y</m:t>
        </m:r>
        <m:r>
          <m:t>s</m:t>
        </m:r>
        <m:r>
          <m:t>t</m:t>
        </m:r>
        <m:r>
          <m:t>e</m:t>
        </m:r>
        <m:r>
          <m:t>m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rPr>
            <m:sty m:val="p"/>
          </m:rPr>
          <m:t>(</m:t>
        </m:r>
        <m:r>
          <m:t>n</m:t>
        </m:r>
        <m:r>
          <m:t>e</m:t>
        </m:r>
        <m:r>
          <m:t>t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R</m:t>
        </m:r>
        <m:r>
          <m:t>i</m:t>
        </m:r>
        <m:r>
          <m:t>d</m:t>
        </m:r>
        <m:r>
          <m:t>e</m:t>
        </m:r>
        <m:r>
          <m:t>r</m:t>
        </m:r>
        <m:r>
          <m:t>R</m:t>
        </m:r>
        <m:r>
          <m:t>E</m:t>
        </m:r>
        <m:r>
          <m:t>V</m:t>
        </m:r>
        <m:r>
          <m:t>c</m:t>
        </m:r>
        <m:r>
          <m:t>u</m:t>
        </m:r>
        <m:r>
          <m:t>s</m:t>
        </m:r>
        <m:r>
          <m:t>t</m:t>
        </m:r>
        <m:r>
          <m:t>o</m:t>
        </m:r>
        <m:r>
          <m:t>m</m:t>
        </m:r>
        <m:r>
          <m:t>e</m:t>
        </m:r>
        <m:r>
          <m:t>r</m:t>
        </m:r>
        <m:r>
          <m:rPr>
            <m:sty m:val="p"/>
          </m:rPr>
          <m:t>−</m:t>
        </m:r>
        <m:r>
          <m:t>s</m:t>
        </m:r>
        <m:r>
          <m:t>h</m:t>
        </m:r>
        <m:r>
          <m:t>a</m:t>
        </m:r>
        <m:r>
          <m:t>r</m:t>
        </m:r>
        <m:r>
          <m:t>i</m:t>
        </m:r>
        <m:r>
          <m:t>n</m:t>
        </m:r>
        <m:r>
          <m:t>g</m:t>
        </m:r>
        <m:r>
          <m:t>t</m:t>
        </m:r>
        <m:r>
          <m:t>a</m:t>
        </m:r>
        <m:r>
          <m:t>r</m:t>
        </m:r>
        <m:r>
          <m:t>i</m:t>
        </m:r>
        <m:r>
          <m:t>f</m:t>
        </m:r>
        <m:r>
          <m:t>f</m:t>
        </m:r>
        <m:r>
          <m:rPr>
            <m:sty m:val="p"/>
          </m:rPr>
          <m:t>)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16M / $0.08 YoY</w:t>
      </w:r>
      <w:r>
        <w:t xml:space="preserve"> </w:t>
      </w:r>
      <w:r>
        <w:t xml:space="preserve">in H1, and management guided</w:t>
      </w:r>
      <w:r>
        <w:t xml:space="preserve"> </w:t>
      </w:r>
      <w:r>
        <w:rPr>
          <w:b/>
          <w:bCs/>
        </w:rPr>
        <w:t xml:space="preserve">another</w:t>
      </w:r>
      <w:r>
        <w:rPr>
          <w:b/>
          <w:bCs/>
        </w:rPr>
        <w:t xml:space="preserve"> </w:t>
      </w:r>
      <m:oMath>
        <m:r>
          <m:t>0.08</m:t>
        </m:r>
        <m:r>
          <m:rPr>
            <m:sty m:val="p"/>
          </m:rPr>
          <m:t>–</m:t>
        </m:r>
      </m:oMath>
      <w:r>
        <w:rPr>
          <w:b/>
          <w:bCs/>
        </w:rPr>
        <w:t xml:space="preserve">0.12 for the full second half</w:t>
      </w:r>
      <w:r>
        <w:t xml:space="preserve">.</w:t>
      </w:r>
    </w:p>
    <w:p>
      <w:pPr>
        <w:pStyle w:val="BodyText"/>
      </w:pPr>
      <w:r>
        <w:t xml:space="preserve">Crucially, on the Q2 call CEO Kevin Akers flagged that as of early May</w:t>
      </w:r>
      <w:r>
        <w:t xml:space="preserve"> </w:t>
      </w:r>
      <w:r>
        <w:rPr>
          <w:b/>
          <w:bCs/>
        </w:rPr>
        <w:t xml:space="preserve">"we're not even into the real heat here in Texas… the power-gen load hasn't kicked in yet."</w:t>
      </w:r>
      <w:r>
        <w:t xml:space="preserve"> </w:t>
      </w:r>
      <w:r>
        <w:t xml:space="preserve">Fiscal Q3 (April–June) captures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that summer power-generation demand.</w:t>
      </w:r>
      <w:r>
        <w:t xml:space="preserve"> </w:t>
      </w:r>
      <w:r>
        <w:rPr>
          <w:b/>
          <w:bCs/>
        </w:rPr>
        <w:t xml:space="preserve">Watch for:</w:t>
      </w:r>
    </w:p>
    <w:p>
      <w:pPr>
        <w:pStyle w:val="Compact"/>
        <w:numPr>
          <w:ilvl w:val="0"/>
          <w:numId w:val="1002"/>
        </w:numPr>
      </w:pPr>
      <w:r>
        <w:t xml:space="preserve">Whether realized Q3 spreads exceeded the plan embedded in the guidance raise</w:t>
      </w:r>
    </w:p>
    <w:p>
      <w:pPr>
        <w:pStyle w:val="Compact"/>
        <w:numPr>
          <w:ilvl w:val="0"/>
          <w:numId w:val="1002"/>
        </w:numPr>
      </w:pPr>
      <w:r>
        <w:t xml:space="preserve">Any reframing of the</w:t>
      </w:r>
      <w:r>
        <w:t xml:space="preserve"> </w:t>
      </w:r>
      <m:oMath>
        <m:r>
          <m:t>0.08</m:t>
        </m:r>
        <m:r>
          <m:rPr>
            <m:sty m:val="p"/>
          </m:rPr>
          <m:t>–</m:t>
        </m:r>
      </m:oMath>
      <w:r>
        <w:t xml:space="preserve">0.12 H2 contribution higher</w:t>
      </w:r>
    </w:p>
    <w:p>
      <w:pPr>
        <w:pStyle w:val="Compact"/>
        <w:numPr>
          <w:ilvl w:val="0"/>
          <w:numId w:val="1002"/>
        </w:numPr>
      </w:pPr>
      <w:r>
        <w:t xml:space="preserve">Management is reluctant to break out a discrete quarterly number (prefers full-year framing) — but any color on July/summer basis differentials will move estimates</w:t>
      </w:r>
    </w:p>
    <w:bookmarkEnd w:id="12"/>
    <w:bookmarkStart w:id="13" w:name="Xffb9845a2cc8867a48c3ac79fdcd38d40c3c10d"/>
    <w:p>
      <w:pPr>
        <w:pStyle w:val="Heading3"/>
      </w:pPr>
      <w:r>
        <w:t xml:space="preserve">2. Texas Rule 7.7102 (HB 4384) — the "rebasing" is now the run-rate</w:t>
      </w:r>
    </w:p>
    <w:p>
      <w:pPr>
        <w:pStyle w:val="FirstParagraph"/>
      </w:pPr>
      <w:r>
        <w:t xml:space="preserve">The final rulemaking codifying HB 4384 lets ATO defer post-in-service carrying costs, depreciation, and ad-valorem taxes on non-8.209 capital (customer growth / system expansion), materially reducing regulatory lag. Management raised the estimated FY26 impact to</w:t>
      </w:r>
      <w:r>
        <w:t xml:space="preserve"> </w:t>
      </w:r>
      <m:oMath>
        <m:r>
          <m:t>155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165M pretax</w:t>
      </w:r>
      <w:r>
        <w:t xml:space="preserve"> </w:t>
      </w:r>
      <w:r>
        <w:t xml:space="preserve">(of which $94M / $0.43 was already in H1 results).</w:t>
      </w:r>
    </w:p>
    <w:p>
      <w:pPr>
        <w:pStyle w:val="BodyText"/>
      </w:pPr>
      <w:r>
        <w:t xml:space="preserve">Key framing for the call: management has called FY26 a</w:t>
      </w:r>
      <w:r>
        <w:t xml:space="preserve"> </w:t>
      </w:r>
      <w:r>
        <w:rPr>
          <w:b/>
          <w:bCs/>
        </w:rPr>
        <w:t xml:space="preserve">rebasing year</w:t>
      </w:r>
      <w:r>
        <w:t xml:space="preserve"> </w:t>
      </w:r>
      <w:r>
        <w:t xml:space="preserve">and confirmed the new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rPr>
          <w:b/>
          <w:bCs/>
        </w:rPr>
        <w:t xml:space="preserve">8.50 is the "clean base"</w:t>
      </w:r>
      <w:r>
        <w:t xml:space="preserve"> </w:t>
      </w:r>
      <w:r>
        <w:t xml:space="preserve">for 6–8% growth into FY27 and beyond — i.e.,</w:t>
      </w:r>
      <w:r>
        <w:t xml:space="preserve"> </w:t>
      </w:r>
      <w:r>
        <w:rPr>
          <w:i/>
          <w:iCs/>
        </w:rPr>
        <w:t xml:space="preserve">no further rebasing</w:t>
      </w:r>
      <w:r>
        <w:t xml:space="preserve"> </w:t>
      </w:r>
      <w:r>
        <w:t xml:space="preserve">expected. Look for reaffirmation of that base and any read-through on how the deferral scales as capex grows. Note the accounting reclass (deferral now flows through O&amp;M/interest by original cost line rather than solely interest) is</w:t>
      </w:r>
      <w:r>
        <w:t xml:space="preserve"> </w:t>
      </w:r>
      <w:r>
        <w:rPr>
          <w:b/>
          <w:bCs/>
        </w:rPr>
        <w:t xml:space="preserve">EPS-neutral</w:t>
      </w:r>
      <w:r>
        <w:t xml:space="preserve"> </w:t>
      </w:r>
      <w:r>
        <w:t xml:space="preserve">— don't be confused by the optics in the segment lines.</w:t>
      </w:r>
    </w:p>
    <w:bookmarkEnd w:id="13"/>
    <w:bookmarkStart w:id="14" w:name="X8c8859cbf25c2ce8e4c2d1ba2c750cfaa9bdd2f"/>
    <w:p>
      <w:pPr>
        <w:pStyle w:val="Heading3"/>
      </w:pPr>
      <w:r>
        <w:t xml:space="preserve">3. Regulatory cadence — Q3 is the big implementation quarter</w:t>
      </w:r>
    </w:p>
    <w:p>
      <w:pPr>
        <w:pStyle w:val="FirstParagraph"/>
      </w:pPr>
      <w:r>
        <w:t xml:space="preserve">Management said</w:t>
      </w:r>
      <w:r>
        <w:t xml:space="preserve"> </w:t>
      </w:r>
      <w:r>
        <w:rPr>
          <w:b/>
          <w:bCs/>
        </w:rPr>
        <w:t xml:space="preserve">~40% of the ~</w:t>
      </w:r>
      <m:oMath>
        <m:r>
          <m:t>600</m:t>
        </m:r>
        <m:r>
          <m:t>M</m:t>
        </m:r>
        <m:r>
          <m:t>i</m:t>
        </m:r>
        <m:r>
          <m:t>n</m:t>
        </m:r>
        <m:r>
          <m:t>p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(</m:t>
        </m:r>
        <m:r>
          <m:t>13</m:t>
        </m:r>
        <m:r>
          <m:t>f</m:t>
        </m:r>
        <m:r>
          <m:t>i</m:t>
        </m:r>
        <m:r>
          <m:t>l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)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b</m:t>
        </m:r>
        <m:r>
          <m:t>e</m:t>
        </m:r>
        <m:r>
          <m:t>i</m:t>
        </m:r>
        <m:r>
          <m:t>m</m:t>
        </m:r>
        <m:r>
          <m:t>p</m:t>
        </m:r>
        <m:r>
          <m:t>l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e</m:t>
        </m:r>
        <m:r>
          <m:t>d</m:t>
        </m:r>
        <m:r>
          <m:t>p</m:t>
        </m:r>
        <m:r>
          <m:t>r</m:t>
        </m:r>
        <m:r>
          <m:t>i</m:t>
        </m:r>
        <m:r>
          <m:t>m</m:t>
        </m:r>
        <m:r>
          <m:t>a</m:t>
        </m:r>
        <m:r>
          <m:t>r</m:t>
        </m:r>
        <m:r>
          <m:t>i</m:t>
        </m:r>
        <m:r>
          <m:t>l</m:t>
        </m:r>
        <m:r>
          <m:t>y</m:t>
        </m:r>
        <m:r>
          <m:t>i</m:t>
        </m:r>
        <m:r>
          <m:t>n</m:t>
        </m:r>
        <m:r>
          <m:t>f</m:t>
        </m:r>
        <m:r>
          <m:t>i</m:t>
        </m:r>
        <m:r>
          <m:t>s</m:t>
        </m:r>
        <m:r>
          <m:t>c</m:t>
        </m:r>
        <m:r>
          <m:t>a</m:t>
        </m:r>
        <m:r>
          <m:t>l</m:t>
        </m:r>
        <m:r>
          <m:t>Q</m:t>
        </m:r>
        <m:r>
          <m:t>3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e</m:t>
        </m:r>
        <m:r>
          <m:t>m</m:t>
        </m:r>
        <m:r>
          <m:t>a</m:t>
        </m:r>
        <m:r>
          <m:t>r</m:t>
        </m:r>
        <m:r>
          <m:t>q</m:t>
        </m:r>
        <m:r>
          <m:t>u</m:t>
        </m:r>
        <m:r>
          <m:t>e</m:t>
        </m:r>
        <m:r>
          <m:t>e</m:t>
        </m:r>
        <m:r>
          <m:t>i</m:t>
        </m:r>
        <m:r>
          <m:t>t</m:t>
        </m:r>
        <m:r>
          <m:t>e</m:t>
        </m:r>
        <m:r>
          <m:t>m</m:t>
        </m:r>
        <m:r>
          <m:rPr>
            <m:sty m:val="p"/>
          </m:rPr>
          <m:t>—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P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 </m:t>
        </m:r>
      </m:oMath>
      <w:r>
        <w:rPr>
          <w:b/>
          <w:bCs/>
        </w:rPr>
        <w:t xml:space="preserve">112M annualized filing</w:t>
      </w:r>
      <w:r>
        <w:t xml:space="preserve"> </w:t>
      </w:r>
      <w:r>
        <w:t xml:space="preserve">— was set for TRRC consideration on</w:t>
      </w:r>
      <w:r>
        <w:t xml:space="preserve"> </w:t>
      </w:r>
      <w:r>
        <w:rPr>
          <w:b/>
          <w:bCs/>
        </w:rPr>
        <w:t xml:space="preserve">May 12, 2026</w:t>
      </w:r>
      <w:r>
        <w:t xml:space="preserve">. Confirmation of that outcome and the pace of distribution-segment rate implementation should underpin the sequential earnings build.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balance-sheet-capital-and-the-dividend"/>
    <w:p>
      <w:pPr>
        <w:pStyle w:val="Heading2"/>
      </w:pPr>
      <w:r>
        <w:t xml:space="preserve">Balance sheet, capital, and the dividend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Capex:</w:t>
      </w:r>
      <w:r>
        <w:t xml:space="preserve"> </w:t>
      </w:r>
      <w:r>
        <w:t xml:space="preserve">On track for</w:t>
      </w:r>
      <w:r>
        <w:t xml:space="preserve"> </w:t>
      </w:r>
      <w:r>
        <w:rPr>
          <w:b/>
          <w:bCs/>
        </w:rPr>
        <w:t xml:space="preserve">~$4.2B in FY26</w:t>
      </w:r>
      <w:r>
        <w:t xml:space="preserve"> </w:t>
      </w:r>
      <w:r>
        <w:t xml:space="preserve">(~85–89% safety/reliability); H1 already ran $2.0B.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Financing / equity:</w:t>
      </w:r>
      <w:r>
        <w:t xml:space="preserve"> </w:t>
      </w:r>
      <w:r>
        <w:t xml:space="preserve">Strong profile — ~</w:t>
      </w:r>
      <w:r>
        <w:rPr>
          <w:b/>
          <w:bCs/>
        </w:rPr>
        <w:t xml:space="preserve">61% equity capitalization</w:t>
      </w:r>
      <w:r>
        <w:t xml:space="preserve">, no short-term debt at Q2, ~</w:t>
      </w:r>
      <m:oMath>
        <m:r>
          <m:t>4.1</m:t>
        </m:r>
        <m:r>
          <m:t>B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.</m:t>
        </m:r>
        <m:r>
          <m:t>A</m:t>
        </m:r>
        <m:r>
          <m:t>T</m:t>
        </m:r>
        <m:r>
          <m:t>O</m:t>
        </m:r>
        <m:r>
          <m:t>h</m:t>
        </m:r>
        <m:r>
          <m:t>a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890M of forward equity** locked, covering the rest of FY26 and part of FY27; it</w:t>
      </w:r>
      <w:r>
        <w:t xml:space="preserve"> </w:t>
      </w:r>
      <w:r>
        <w:rPr>
          <w:b/>
          <w:bCs/>
        </w:rPr>
        <w:t xml:space="preserve">priced no ATM in Q2</w:t>
      </w:r>
      <w:r>
        <w:t xml:space="preserve"> </w:t>
      </w:r>
      <w:r>
        <w:t xml:space="preserve">("keeping powder dry"), so watch for any equity re-engagement given the lower share price.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Debt:</w:t>
      </w:r>
      <w:r>
        <w:t xml:space="preserve"> </w:t>
      </w:r>
      <w:r>
        <w:t xml:space="preserve">In June 2026 ATO issued **</w:t>
      </w:r>
      <m:oMath>
        <m:r>
          <m:t>700</m:t>
        </m:r>
        <m:r>
          <m:t>M</m:t>
        </m:r>
        <m:r>
          <m:t>o</m:t>
        </m:r>
        <m:r>
          <m:t>f</m:t>
        </m:r>
        <m:r>
          <m:t>4.750</m:t>
        </m:r>
      </m:oMath>
      <w:r>
        <w:t xml:space="preserve">693.9M net), pre-funding the capital program.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Dividend:</w:t>
      </w:r>
      <w:r>
        <w:t xml:space="preserve"> </w:t>
      </w:r>
      <w:r>
        <w:t xml:space="preserve">Indicated annual dividend of</w:t>
      </w:r>
      <w:r>
        <w:t xml:space="preserve"> </w:t>
      </w:r>
      <w:r>
        <w:rPr>
          <w:b/>
          <w:bCs/>
        </w:rPr>
        <w:t xml:space="preserve">$4.00 (14.9% increase over FY25)</w:t>
      </w:r>
      <w:r>
        <w:t xml:space="preserve"> </w:t>
      </w:r>
      <w:r>
        <w:t xml:space="preserve">— though management clarified this is a one-time step-up reflecting the HB 4384 EPS re-base, not a new growth rate; expect a return to mid-single-digit dividend growth tracking EPS.</w:t>
      </w:r>
    </w:p>
    <w:bookmarkEnd w:id="16"/>
    <w:bookmarkStart w:id="17" w:name="growth-backdrop"/>
    <w:p>
      <w:pPr>
        <w:pStyle w:val="Heading2"/>
      </w:pPr>
      <w:r>
        <w:t xml:space="preserve">Growth backdrop</w:t>
      </w:r>
    </w:p>
    <w:p>
      <w:pPr>
        <w:pStyle w:val="FirstParagraph"/>
      </w:pPr>
      <w:r>
        <w:t xml:space="preserve">Customer growth remains healthy:</w:t>
      </w:r>
      <w:r>
        <w:t xml:space="preserve"> </w:t>
      </w:r>
      <w:r>
        <w:rPr>
          <w:b/>
          <w:bCs/>
        </w:rPr>
        <w:t xml:space="preserve">~51,000 net new customers over the trailing 12 months (~39,000 in Texas)</w:t>
      </w:r>
      <w:r>
        <w:t xml:space="preserve">, plus ~800 commercial and 4 industrial adds in Q2, supported by continued DFW-metroplex expansion (e.g., completion of Line WA Phase 2). This underpins the durability of the rate-base growth story.</w:t>
      </w:r>
    </w:p>
    <w:p>
      <w:r>
        <w:pict>
          <v:rect style="width:0;height:1.5pt" o:hralign="center" o:hrstd="t" o:hr="t"/>
        </w:pict>
      </w:r>
    </w:p>
    <w:bookmarkEnd w:id="17"/>
    <w:bookmarkStart w:id="18" w:name="stock--sentiment-context"/>
    <w:p>
      <w:pPr>
        <w:pStyle w:val="Heading2"/>
      </w:pPr>
      <w:r>
        <w:t xml:space="preserve">Stock / sentiment context</w:t>
      </w:r>
    </w:p>
    <w:p>
      <w:pPr>
        <w:pStyle w:val="FirstParagraph"/>
      </w:pPr>
      <w:r>
        <w:t xml:space="preserve">ATO has</w:t>
      </w:r>
      <w:r>
        <w:t xml:space="preserve"> </w:t>
      </w:r>
      <w:r>
        <w:rPr>
          <w:b/>
          <w:bCs/>
        </w:rPr>
        <w:t xml:space="preserve">underperformed into the print</w:t>
      </w:r>
      <w:r>
        <w:t xml:space="preserve">, closing</w:t>
      </w:r>
      <w:r>
        <w:t xml:space="preserve"> </w:t>
      </w:r>
      <w:r>
        <w:rPr>
          <w:b/>
          <w:bCs/>
        </w:rPr>
        <w:t xml:space="preserve">~</w:t>
      </w:r>
      <m:oMath>
        <m:r>
          <m:t>172.68</m:t>
        </m:r>
        <m:r>
          <m:t>o</m:t>
        </m:r>
        <m:r>
          <m:t>n</m:t>
        </m:r>
        <m:r>
          <m:t>A</m:t>
        </m:r>
        <m:r>
          <m:t>u</m:t>
        </m:r>
        <m:r>
          <m:t>g</m:t>
        </m:r>
        <m:r>
          <m:t>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rPr>
          <w:b/>
          <w:bCs/>
        </w:rPr>
        <w:t xml:space="preserve">189–192 in early April (roughly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-9%</w:t>
      </w:r>
      <w:r>
        <w:rPr>
          <w:b/>
          <w:bCs/>
        </w:rPr>
        <w:t xml:space="preserve"> </w:t>
      </w:r>
      <w:r>
        <w:rPr>
          <w:b/>
          <w:bCs/>
        </w:rPr>
        <w:t xml:space="preserve">over four months) despite the May guidance raise. At ~</w:t>
      </w:r>
      <m:oMath>
        <m:r>
          <m:t>172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 </m:t>
        </m:r>
      </m:oMath>
      <w:r>
        <w:rPr>
          <w:b/>
          <w:bCs/>
        </w:rPr>
        <w:t xml:space="preserve">4.00 dividend implies a **~2.3% yield</w:t>
      </w:r>
      <w:r>
        <w:t xml:space="preserve">. The pullback suggests the market may not be fully crediting the Waha spread tailwind or the HB 4384 re-base — setting up potential positive skew</w:t>
      </w:r>
      <w:r>
        <w:t xml:space="preserve"> </w:t>
      </w:r>
      <w:r>
        <w:rPr>
          <w:i/>
          <w:iCs/>
        </w:rPr>
        <w:t xml:space="preserve">if</w:t>
      </w:r>
      <w:r>
        <w:t xml:space="preserve"> </w:t>
      </w:r>
      <w:r>
        <w:t xml:space="preserve">management raises again, but also leaving room for disappointment if summer spreads normalized faster than hoped.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-the-checklist-for-the-print"/>
    <w:p>
      <w:pPr>
        <w:pStyle w:val="Heading2"/>
      </w:pPr>
      <w:r>
        <w:t xml:space="preserve">Bottom line — the checklist for the print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Another raise/narrowing above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t xml:space="preserve">8.50, or reaffirmation? (Watch the APT through-system contribution vs. the</w:t>
      </w:r>
      <w:r>
        <w:t xml:space="preserve"> </w:t>
      </w:r>
      <m:oMath>
        <m:r>
          <m:t>0.08</m:t>
        </m:r>
        <m:r>
          <m:rPr>
            <m:sty m:val="p"/>
          </m:rPr>
          <m:t>–</m:t>
        </m:r>
      </m:oMath>
      <w:r>
        <w:t xml:space="preserve">0.12 H2 plan.)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Waha/Permian:</w:t>
      </w:r>
      <w:r>
        <w:t xml:space="preserve"> </w:t>
      </w:r>
      <w:r>
        <w:t xml:space="preserve">Realized Q3 spreads and any summer power-gen demand color.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Rate cases:</w:t>
      </w:r>
      <w:r>
        <w:t xml:space="preserve"> </w:t>
      </w:r>
      <w:r>
        <w:t xml:space="preserve">Confirmation of the APT ~</w:t>
      </w:r>
      <m:oMath>
        <m:r>
          <m:t>112</m:t>
        </m:r>
        <m:r>
          <m:t>M</m:t>
        </m:r>
        <m:r>
          <m:t>o</m:t>
        </m:r>
        <m:r>
          <m:t>u</m:t>
        </m:r>
        <m:r>
          <m:t>t</m:t>
        </m:r>
        <m:r>
          <m:t>c</m:t>
        </m:r>
        <m:r>
          <m:t>o</m:t>
        </m:r>
        <m:r>
          <m:t>m</m:t>
        </m:r>
        <m:r>
          <m:t>e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 </m:t>
        </m:r>
        <m:r>
          <m:t>40</m:t>
        </m:r>
      </m:oMath>
      <w:r>
        <w:t xml:space="preserve">600M implementation cadence.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FY27 framing:</w:t>
      </w:r>
      <w:r>
        <w:t xml:space="preserve"> </w:t>
      </w:r>
      <w:r>
        <w:t xml:space="preserve">Reaffirm</w:t>
      </w:r>
      <w:r>
        <w:t xml:space="preserve"> </w:t>
      </w:r>
      <m:oMath>
        <m:r>
          <m:t>8.40</m:t>
        </m:r>
        <m:r>
          <m:rPr>
            <m:sty m:val="p"/>
          </m:rPr>
          <m:t>–</m:t>
        </m:r>
      </m:oMath>
      <w:r>
        <w:t xml:space="preserve">8.50 as the clean base for 6–8% growth, no further re-basing.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Equity/capex:</w:t>
      </w:r>
      <w:r>
        <w:t xml:space="preserve"> </w:t>
      </w:r>
      <w:r>
        <w:t xml:space="preserve">Any ATM activity given the lower stock, and reaffirmation of the ~$4.2B capex plan.</w:t>
      </w:r>
    </w:p>
    <w:p>
      <w:pPr>
        <w:pStyle w:val="FirstParagraph"/>
      </w:pPr>
      <w:r>
        <w:t xml:space="preserve">The most likely outcome is a steady, algorithm-consistent quarter where the</w:t>
      </w:r>
      <w:r>
        <w:t xml:space="preserve"> </w:t>
      </w:r>
      <w:r>
        <w:rPr>
          <w:b/>
          <w:bCs/>
        </w:rPr>
        <w:t xml:space="preserve">narrative on Permian spreads and the FY27 base</w:t>
      </w:r>
      <w:r>
        <w:t xml:space="preserve"> </w:t>
      </w:r>
      <w:r>
        <w:t xml:space="preserve">matters far more than the reported EPS. A guidance raise driven by summer Waha strength would be the clearest positive catalyst; conversely, any sign that spreads are normalizing and the H2 contribution is capped would validate the recent share-price softness.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Note: Implied Q3 EPS figures are derived from reported YTD results and management's "evenly by quarter" H2 framing; they are estimates, not company-provided quarterly guidance. ATO does not issue quarterly EPS guidance.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2026-08-05T01:24:53Z</dcterms:created>
  <dcterms:modified xsi:type="dcterms:W3CDTF">2026-08-05T01:24:53Z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