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to-earnings-predictions--2026-08-05"/>
    <w:p>
      <w:pPr>
        <w:pStyle w:val="Heading1"/>
      </w:pPr>
      <w:r>
        <w:t xml:space="preserve">ATO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~$1.39 vs. cons $1.34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~$1.03B vs. cons $1.04B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Distribution throughput volumes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~77,500 MMcf vs. cons 78,000 MMcf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full-year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~$8.45 (mid of</w:t>
            </w:r>
            <w:r>
              <w:t xml:space="preserve"> </w:t>
            </w:r>
            <m:oMath>
              <m:r>
                <m:t>8.40</m:t>
              </m:r>
              <m:r>
                <m:rPr>
                  <m:sty m:val="p"/>
                </m:rPr>
                <m:t>−</m:t>
              </m:r>
            </m:oMath>
            <w:r>
              <w:t xml:space="preserve">8.50) vs. cons $8.46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FY26 incremental APT/Waha spread-capture EPS benefit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~$0.04-0.06 vs. prior guided $0.08-0.12 (H2 FY2026, i.e. Q3+Q4)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EPS growth off rebased FY26 (long-term algorithm reiteration)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~6-8% vs. street ~7% consensus growth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Q3 (Apr-Jun) still captured much of the wide Waha discount before GCX-driven narrowing accelerated in June, so a headline EPS beat and reaffirmed</w:t>
            </w:r>
            <w:r>
              <w:t xml:space="preserve"> </w:t>
            </w:r>
            <m:oMath>
              <m:r>
                <m:t>8.40</m:t>
              </m:r>
              <m:r>
                <m:rPr>
                  <m:sty m:val="p"/>
                </m:rPr>
                <m:t>−</m:t>
              </m:r>
            </m:oMath>
            <w:r>
              <w:t xml:space="preserve">8.50 FY26 guide should spark a relief rally given the stock's ~9-10% pullback into the print. But because the $0.08-0.12 H2 Waha tailwind was explicitly flagged as at risk and independent data show the basis has now compressed sharply (and even flipped positive in July), sell-side models will likely trim Q4 and FY27 out-period estimates for APT through-system margin even as they mark Q3 as a beat. That implicit cut to the run-rate embedded in FY27 numbers (the 6-8% growth algorithm now anchored to a higher, partly non-repeatable base) should cause analysts to temper enthusiasm over the following days, fading the initial pop rather than extending it — consistent with a 'beat now, cut later' revision pattern common in unsustainable-tailwind utility prints.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2026-08-05T01:28:10Z</dcterms:created>
  <dcterms:modified xsi:type="dcterms:W3CDTF">2026-08-05T01:28:10Z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