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6bf4e66287c6e38313a94a06b0aeee2817f4227"/>
    <w:p>
      <w:pPr>
        <w:pStyle w:val="Heading1"/>
      </w:pPr>
      <w:r>
        <w:t xml:space="preserve">Atmos Energy (ATO) — Fiscal Q3 2026 Earnings Preview</w:t>
      </w:r>
    </w:p>
    <w:p>
      <w:pPr>
        <w:pStyle w:val="FirstParagraph"/>
      </w:pPr>
      <w:r>
        <w:rPr>
          <w:b/>
          <w:bCs/>
        </w:rPr>
        <w:t xml:space="preserve">Report Date:</w:t>
      </w:r>
      <w:r>
        <w:t xml:space="preserve"> </w:t>
      </w:r>
      <w:r>
        <w:t xml:space="preserve">Wednesday, August 5, 2026 (after market close) |</w:t>
      </w:r>
      <w:r>
        <w:t xml:space="preserve"> </w:t>
      </w:r>
      <w:r>
        <w:rPr>
          <w:b/>
          <w:bCs/>
        </w:rPr>
        <w:t xml:space="preserve">Call:</w:t>
      </w:r>
      <w:r>
        <w:t xml:space="preserve"> </w:t>
      </w:r>
      <w:r>
        <w:t xml:space="preserve">Thursday, August 6, 2026, 10:00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Atmos Energy shares have pulled back roughly 9-10% from their late-April highs (~$190) to around $173 heading into the print, after a strong run earlier in the year. The stock has been rangebound in the</w:t>
      </w:r>
      <w:r>
        <w:t xml:space="preserve"> </w:t>
      </w:r>
      <m:oMath>
        <m:r>
          <m:t>167</m:t>
        </m:r>
        <m:r>
          <m:rPr>
            <m:sty m:val="p"/>
          </m:rPr>
          <m:t>–</m:t>
        </m:r>
      </m:oMath>
      <w:r>
        <w:t xml:space="preserve">180 band since late May, likely reflecting both broader utility-sector rate sensitivity and some investor caution around the sustainability of a key earnings tailwind (Permian basis spreads — see below). Sell-side sentiment remains constructive but not exuberant: Truist recently nudged its price target up to</w:t>
      </w:r>
      <w:r>
        <w:t xml:space="preserve"> </w:t>
      </w:r>
      <w:r>
        <w:t xml:space="preserve">$188 while keeping a Hold-equivalent rating, and the broader analyst consensus sits around a "Hold" with price targets in the mid-$</w:t>
      </w:r>
      <w:r>
        <w:t xml:space="preserve">180s — modestly above current levels.</w:t>
      </w:r>
    </w:p>
    <w:bookmarkEnd w:id="9"/>
    <w:bookmarkStart w:id="10" w:name="consensus-expectations"/>
    <w:p>
      <w:pPr>
        <w:pStyle w:val="Heading2"/>
      </w:pPr>
      <w:r>
        <w:t xml:space="preserve">Consensus Expectations</w:t>
      </w:r>
    </w:p>
    <w:p>
      <w:pPr>
        <w:pStyle w:val="Compact"/>
        <w:numPr>
          <w:ilvl w:val="0"/>
          <w:numId w:val="1001"/>
        </w:numPr>
      </w:pPr>
      <w:r>
        <w:rPr>
          <w:b/>
          <w:bCs/>
        </w:rPr>
        <w:t xml:space="preserve">EPS:</w:t>
      </w:r>
      <w:r>
        <w:t xml:space="preserve"> </w:t>
      </w:r>
      <w:r>
        <w:t xml:space="preserve">Zacks consensus of</w:t>
      </w:r>
      <w:r>
        <w:t xml:space="preserve"> </w:t>
      </w:r>
      <w:r>
        <w:rPr>
          <w:b/>
          <w:bCs/>
        </w:rPr>
        <w:t xml:space="preserve">$1.34/share</w:t>
      </w:r>
      <w:r>
        <w:t xml:space="preserve">, which would represent roughly a</w:t>
      </w:r>
      <w:r>
        <w:t xml:space="preserve"> </w:t>
      </w:r>
      <w:r>
        <w:rPr>
          <w:b/>
          <w:bCs/>
        </w:rPr>
        <w:t xml:space="preserve">15.5% year-over-year increase</w:t>
      </w:r>
    </w:p>
    <w:p>
      <w:pPr>
        <w:pStyle w:val="Compact"/>
        <w:numPr>
          <w:ilvl w:val="0"/>
          <w:numId w:val="1001"/>
        </w:numPr>
      </w:pPr>
      <w:r>
        <w:rPr>
          <w:b/>
          <w:bCs/>
        </w:rPr>
        <w:t xml:space="preserve">Revenue:</w:t>
      </w:r>
      <w:r>
        <w:t xml:space="preserve"> </w:t>
      </w:r>
      <w:r>
        <w:t xml:space="preserve">Consensus of approximately</w:t>
      </w:r>
      <w:r>
        <w:t xml:space="preserve"> </w:t>
      </w:r>
      <w:r>
        <w:rPr>
          <w:b/>
          <w:bCs/>
        </w:rPr>
        <w:t xml:space="preserve">$1.04 billion</w:t>
      </w:r>
      <w:r>
        <w:t xml:space="preserve">, implying about</w:t>
      </w:r>
      <w:r>
        <w:t xml:space="preserve"> </w:t>
      </w:r>
      <w:r>
        <w:rPr>
          <w:b/>
          <w:bCs/>
        </w:rPr>
        <w:t xml:space="preserve">24% year-over-year growth</w:t>
      </w:r>
    </w:p>
    <w:p>
      <w:pPr>
        <w:pStyle w:val="Compact"/>
        <w:numPr>
          <w:ilvl w:val="0"/>
          <w:numId w:val="1001"/>
        </w:numPr>
      </w:pPr>
      <w:r>
        <w:rPr>
          <w:b/>
          <w:bCs/>
        </w:rPr>
        <w:t xml:space="preserve">Distribution throughput volumes:</w:t>
      </w:r>
      <w:r>
        <w:t xml:space="preserve"> </w:t>
      </w:r>
      <w:r>
        <w:t xml:space="preserve">Consensus of</w:t>
      </w:r>
      <w:r>
        <w:t xml:space="preserve"> </w:t>
      </w:r>
      <w:r>
        <w:rPr>
          <w:b/>
          <w:bCs/>
        </w:rPr>
        <w:t xml:space="preserve">78,000 MMcf</w:t>
      </w:r>
      <w:r>
        <w:t xml:space="preserve">, up</w:t>
      </w:r>
      <w:r>
        <w:t xml:space="preserve"> </w:t>
      </w:r>
      <w:r>
        <w:rPr>
          <w:b/>
          <w:bCs/>
        </w:rPr>
        <w:t xml:space="preserve">~3.5% year-over-year</w:t>
      </w:r>
    </w:p>
    <w:p>
      <w:pPr>
        <w:pStyle w:val="FirstParagraph"/>
      </w:pPr>
      <w:r>
        <w:t xml:space="preserve">For context, this would follow a fiscal Q3 2025 in which the company earned roughly</w:t>
      </w:r>
      <w:r>
        <w:t xml:space="preserve"> </w:t>
      </w:r>
      <m:oMath>
        <m:r>
          <m:t>1.14</m:t>
        </m:r>
        <m:r>
          <m:rPr>
            <m:sty m:val="p"/>
          </m:rPr>
          <m:t>–</m:t>
        </m:r>
      </m:oMath>
      <w:r>
        <w:t xml:space="preserve">1.16/share (implied from the $6.40 nine-month FY25 EPS figure reported at the time), so the bar is set for meaningful growth, consistent with Atmos's long-stated 6-8% EPS growth algorithm — though 2026 is running well ahead of that due to a regulatory tailwind (detailed below).</w:t>
      </w:r>
    </w:p>
    <w:bookmarkEnd w:id="10"/>
    <w:bookmarkStart w:id="11" w:name="Xd6f7ef40179641dc59f3ccaba6983d0a4f93101"/>
    <w:p>
      <w:pPr>
        <w:pStyle w:val="Heading2"/>
      </w:pPr>
      <w:r>
        <w:t xml:space="preserve">What Happened Last Quarter (FY26 Q2, reported May 6)</w:t>
      </w:r>
    </w:p>
    <w:p>
      <w:pPr>
        <w:pStyle w:val="FirstParagraph"/>
      </w:pPr>
      <w:r>
        <w:t xml:space="preserve">Atmos beat and raised. Management reported year-to-date fiscal '26 net income of $985 million or $5.92 per diluted share, and updated earnings per share guidance range to $8.40 to $8.50 from a prior</w:t>
      </w:r>
      <w:r>
        <w:t xml:space="preserve"> </w:t>
      </w:r>
      <m:oMath>
        <m:r>
          <m:t>8.15</m:t>
        </m:r>
        <m:r>
          <m:rPr>
            <m:sty m:val="p"/>
          </m:rPr>
          <m:t>−</m:t>
        </m:r>
      </m:oMath>
      <w:r>
        <w:t xml:space="preserve">8.35. That $5.92 first-half figure was a 12.5% increase over the prior year period. The company also raised its quarterly dividend to $1.00 (indicated annual dividend of $4.00), a 14.9% increase over fiscal 2025.</w:t>
      </w:r>
    </w:p>
    <w:p>
      <w:pPr>
        <w:pStyle w:val="BodyText"/>
      </w:pPr>
      <w:r>
        <w:t xml:space="preserve">Two big swing factors drove the guidance raise, and both remain central to the Q3 story:</w:t>
      </w:r>
    </w:p>
    <w:p>
      <w:pPr>
        <w:pStyle w:val="BodyText"/>
      </w:pPr>
      <w:r>
        <w:rPr>
          <w:b/>
          <w:bCs/>
        </w:rPr>
        <w:t xml:space="preserve">1. Texas Rule 7.7102 ("regulatory lag" relief).</w:t>
      </w:r>
      <w:r>
        <w:t xml:space="preserve"> </w:t>
      </w:r>
      <w:r>
        <w:t xml:space="preserve">This new Texas rule allows Atmos to defer post-in-service carrying costs, depreciation and ad valorem taxes tied to capital spending that doesn't otherwise qualify for interim rate relief. Management said with final rulemaking completed and improved visibility into the timing of capital spending in Texas for the remainder of the fiscal year, the impact of implementing Rule 7.7102 will be higher than originally planned, estimating a full-year pretax impact of</w:t>
      </w:r>
      <w:r>
        <w:t xml:space="preserve"> </w:t>
      </w:r>
      <w:r>
        <w:rPr>
          <w:b/>
          <w:bCs/>
        </w:rPr>
        <w:t xml:space="preserve">$155-165 million</w:t>
      </w:r>
      <w:r>
        <w:t xml:space="preserve">. CFO Chris Forsythe called fiscal 2026 explicitly "basically a rebasing year" tied to this rule, and reiterated that the new</w:t>
      </w:r>
      <w:r>
        <w:t xml:space="preserve"> </w:t>
      </w:r>
      <m:oMath>
        <m:r>
          <m:t>8.40</m:t>
        </m:r>
        <m:r>
          <m:rPr>
            <m:sty m:val="p"/>
          </m:rPr>
          <m:t>−</m:t>
        </m:r>
      </m:oMath>
      <w:r>
        <w:t xml:space="preserve">8.50 base is a clean launch pad for the normal 6-8% growth algorithm going forward, with no further rebasing expected in FY27.</w:t>
      </w:r>
    </w:p>
    <w:p>
      <w:pPr>
        <w:pStyle w:val="BodyText"/>
      </w:pPr>
      <w:r>
        <w:rPr>
          <w:b/>
          <w:bCs/>
        </w:rPr>
        <w:t xml:space="preserve">2. APT through-system spread capture (Waha basis).</w:t>
      </w:r>
      <w:r>
        <w:t xml:space="preserve"> </w:t>
      </w:r>
      <w:r>
        <w:t xml:space="preserve">Atmos Pipeline-Texas earns extra margin when it can arbitrage wide Permian (Waha) vs. Henry Hub gas price spreads. In H1 FY26, APT's through-system revenues net of Rider REV increased about $16 million or $0.08, substantially all of which reflected higher spreads realized during fiscal '26 compared with fiscal '25, averaging $4.35 versus $1.80 in the prior year. Management guided for an</w:t>
      </w:r>
      <w:r>
        <w:t xml:space="preserve"> </w:t>
      </w:r>
      <w:r>
        <w:rPr>
          <w:b/>
          <w:bCs/>
        </w:rPr>
        <w:t xml:space="preserve">incremental</w:t>
      </w:r>
      <w:r>
        <w:rPr>
          <w:b/>
          <w:bCs/>
        </w:rPr>
        <w:t xml:space="preserve"> </w:t>
      </w:r>
      <m:oMath>
        <m:r>
          <m:t>0.08</m:t>
        </m:r>
        <m:r>
          <m:rPr>
            <m:sty m:val="p"/>
          </m:rPr>
          <m:t>−</m:t>
        </m:r>
      </m:oMath>
      <w:r>
        <w:rPr>
          <w:b/>
          <w:bCs/>
        </w:rPr>
        <w:t xml:space="preserve">0.12 of upside in the back half of FY26</w:t>
      </w:r>
      <w:r>
        <w:t xml:space="preserve"> </w:t>
      </w:r>
      <w:r>
        <w:t xml:space="preserve">from this dynamic, while flagging a key risk to watch: "although we have recently seen some modest improvement in Waha, we anticipate natural gas pricing in the Permian will remain challenging for the remainder of our fiscal year."</w:t>
      </w:r>
    </w:p>
    <w:bookmarkEnd w:id="11"/>
    <w:bookmarkStart w:id="12" w:name="Xe19c36ce31ccaf647929f67c7887f02c113f9a8"/>
    <w:p>
      <w:pPr>
        <w:pStyle w:val="Heading2"/>
      </w:pPr>
      <w:r>
        <w:t xml:space="preserve">The Key Swing Factor for Q3: Has the Waha Tailwind Faded?</w:t>
      </w:r>
    </w:p>
    <w:p>
      <w:pPr>
        <w:pStyle w:val="FirstParagraph"/>
      </w:pPr>
      <w:r>
        <w:t xml:space="preserve">This is arguably the single most important variable for the print. Since the Q2 call, Permian takeaway capacity has expanded meaningfully — Kinder Morgan's Gulf Coast Express (GCX) expansion entered service in early June — and Waha basis has narrowed sharply from deeply negative levels. Independent tracking shows Waha cash prices moving from roughly</w:t>
      </w:r>
      <w:r>
        <w:t xml:space="preserve"> </w:t>
      </w:r>
      <w:r>
        <w:rPr>
          <w:b/>
          <w:bCs/>
        </w:rPr>
        <w:t xml:space="preserve">-</w:t>
      </w:r>
      <m:oMath>
        <m:r>
          <m:t>3.30</m:t>
        </m:r>
        <m:r>
          <m:rPr>
            <m:sty m:val="p"/>
          </m:rPr>
          <m:t>/</m:t>
        </m:r>
        <m:r>
          <m:t>M</m:t>
        </m:r>
        <m:r>
          <m:t>M</m:t>
        </m:r>
        <m:r>
          <m:t>B</m:t>
        </m:r>
        <m:r>
          <m:t>t</m:t>
        </m:r>
        <m:r>
          <m:t>u</m:t>
        </m:r>
        <m:r>
          <m:t>i</m:t>
        </m:r>
        <m:r>
          <m:t>n</m:t>
        </m:r>
        <m:r>
          <m:t>M</m:t>
        </m:r>
        <m:r>
          <m:t>a</m:t>
        </m:r>
        <m:r>
          <m:t>y</m:t>
        </m:r>
        <m:r>
          <m:t>t</m:t>
        </m:r>
        <m:r>
          <m:t>o</m:t>
        </m:r>
        <m:r>
          <m:t>a</m:t>
        </m:r>
        <m:r>
          <m:t>b</m:t>
        </m:r>
        <m:r>
          <m:t>o</m:t>
        </m:r>
        <m:r>
          <m:t>u</m:t>
        </m:r>
        <m:r>
          <m:t>t</m:t>
        </m:r>
        <m:r>
          <m:rPr>
            <m:sty m:val="p"/>
          </m:rPr>
          <m:t>−</m:t>
        </m:r>
      </m:oMath>
      <w:r>
        <w:rPr>
          <w:b/>
          <w:bCs/>
        </w:rPr>
        <w:t xml:space="preserve">0.24/MMBtu in June</w:t>
      </w:r>
      <w:r>
        <w:t xml:space="preserve">, with West Texas prices continuing to firm through July toward nearly</w:t>
      </w:r>
      <w:r>
        <w:t xml:space="preserve"> </w:t>
      </w:r>
      <w:r>
        <w:rPr>
          <w:b/>
          <w:bCs/>
        </w:rPr>
        <w:t xml:space="preserve">$2.00/MMBtu</w:t>
      </w:r>
      <w:r>
        <w:t xml:space="preserve"> </w:t>
      </w:r>
      <w:r>
        <w:t xml:space="preserve">on a cash basis. Additional egress (Blackcomb, Hugh Brinson) is set to add further capacity into late 2026/2027, which should continue easing the Permian bottleneck that had been so lucrative for APT's through-system business.</w:t>
      </w:r>
    </w:p>
    <w:p>
      <w:pPr>
        <w:pStyle w:val="BodyText"/>
      </w:pPr>
      <w:r>
        <w:t xml:space="preserve">A narrower Waha discount is good news for Permian producers and Atmos's LDC customers behind the city gate (who share in Rider REV credits), but it is a potential headwind to the exact spread-capture upside management baked into fiscal Q3/Q4 guidance. Investors should listen closely for:</w:t>
      </w:r>
    </w:p>
    <w:p>
      <w:pPr>
        <w:pStyle w:val="Compact"/>
        <w:numPr>
          <w:ilvl w:val="0"/>
          <w:numId w:val="1002"/>
        </w:numPr>
      </w:pPr>
      <w:r>
        <w:t xml:space="preserve">Whether management still expects to hit the</w:t>
      </w:r>
      <w:r>
        <w:t xml:space="preserve"> </w:t>
      </w:r>
      <m:oMath>
        <m:r>
          <m:t>0.08</m:t>
        </m:r>
        <m:r>
          <m:rPr>
            <m:sty m:val="p"/>
          </m:rPr>
          <m:t>−</m:t>
        </m:r>
      </m:oMath>
      <w:r>
        <w:t xml:space="preserve">0.12 incremental H2 contribution, or whether it needs to trim that number</w:t>
      </w:r>
    </w:p>
    <w:p>
      <w:pPr>
        <w:pStyle w:val="Compact"/>
        <w:numPr>
          <w:ilvl w:val="0"/>
          <w:numId w:val="1002"/>
        </w:numPr>
      </w:pPr>
      <w:r>
        <w:t xml:space="preserve">Any explicit break-out of the fiscal Q3 through-system/Rider REV contribution</w:t>
      </w:r>
    </w:p>
    <w:p>
      <w:pPr>
        <w:pStyle w:val="Compact"/>
        <w:numPr>
          <w:ilvl w:val="0"/>
          <w:numId w:val="1002"/>
        </w:numPr>
      </w:pPr>
      <w:r>
        <w:t xml:space="preserve">Commentary on how sustainably wide spreads might remain into FY27 as new pipeline capacity ramps</w:t>
      </w:r>
    </w:p>
    <w:bookmarkEnd w:id="12"/>
    <w:bookmarkStart w:id="13" w:name="other-things-to-watch"/>
    <w:p>
      <w:pPr>
        <w:pStyle w:val="Heading2"/>
      </w:pPr>
      <w:r>
        <w:t xml:space="preserve">Other Things to Watch</w:t>
      </w:r>
    </w:p>
    <w:p>
      <w:pPr>
        <w:pStyle w:val="Compact"/>
        <w:numPr>
          <w:ilvl w:val="0"/>
          <w:numId w:val="1003"/>
        </w:numPr>
      </w:pPr>
      <w:r>
        <w:rPr>
          <w:b/>
          <w:bCs/>
        </w:rPr>
        <w:t xml:space="preserve">Regulatory execution:</w:t>
      </w:r>
      <w:r>
        <w:t xml:space="preserve"> </w:t>
      </w:r>
      <w:r>
        <w:t xml:space="preserve">As of the Q2 call, Atmos had 13 filings in progress, seeking nearly $600 million in annualized operating income increases, with approximately 40% expected to be implemented primarily during fiscal Q3. The largest was APT's rate filing seeking $112 million in annualized operating income, which was slated for Railroad Commission of Texas consideration in mid-May. Watch for confirmation of implementation and the associated M-Tex/Dallas rate case outcomes (a compromise settlement was reached with the Dallas City Council in late May), as these directly feed into the "40% implemented in Q3" commentary.</w:t>
      </w:r>
    </w:p>
    <w:p>
      <w:pPr>
        <w:pStyle w:val="Compact"/>
        <w:numPr>
          <w:ilvl w:val="0"/>
          <w:numId w:val="1003"/>
        </w:numPr>
      </w:pPr>
      <w:r>
        <w:rPr>
          <w:b/>
          <w:bCs/>
        </w:rPr>
        <w:t xml:space="preserve">O&amp;M and interest expense trends:</w:t>
      </w:r>
      <w:r>
        <w:t xml:space="preserve"> </w:t>
      </w:r>
      <w:r>
        <w:t xml:space="preserve">Full-year guidance calls for O&amp;M of $865-885 million and interest expense of $155-160 million (the latter elevated purely due to the 7.7102 reclassification, not incremental cost). Confirm these ranges are tracking as expected, with cost inflation (employee, compliance, safety spend) offset by Rule 7.7102 deferrals.</w:t>
      </w:r>
    </w:p>
    <w:p>
      <w:pPr>
        <w:pStyle w:val="Compact"/>
        <w:numPr>
          <w:ilvl w:val="0"/>
          <w:numId w:val="1003"/>
        </w:numPr>
      </w:pPr>
      <w:r>
        <w:rPr>
          <w:b/>
          <w:bCs/>
        </w:rPr>
        <w:t xml:space="preserve">Capital spending and balance sheet:</w:t>
      </w:r>
      <w:r>
        <w:t xml:space="preserve"> </w:t>
      </w:r>
      <w:r>
        <w:t xml:space="preserve">Atmos is guiding to roughly $4.2 billion of capex for FY26, with the vast majority (~85-89%) directed at safety and reliability. The balance sheet remains strong — equity capitalization of 61% as of March 31, with $4.1 billion in available liquidity, including roughly $890 million of net proceeds available under existing forward sale agreements expected to cover the rest of FY26's equity needs and part of FY27's. Confirm no incremental ATM equity issuance surprises and check for any update on FY27 equity pre-funding.</w:t>
      </w:r>
    </w:p>
    <w:p>
      <w:pPr>
        <w:pStyle w:val="Compact"/>
        <w:numPr>
          <w:ilvl w:val="0"/>
          <w:numId w:val="1003"/>
        </w:numPr>
      </w:pPr>
      <w:r>
        <w:rPr>
          <w:b/>
          <w:bCs/>
        </w:rPr>
        <w:t xml:space="preserve">Customer growth:</w:t>
      </w:r>
      <w:r>
        <w:t xml:space="preserve"> </w:t>
      </w:r>
      <w:r>
        <w:t xml:space="preserve">Atmos has been adding customers at a healthy clip — over 51,000 new customers in the 12 months through March 2026, with over 39,000 of those in Texas — a durable long-term growth driver independent of the rate/spread noise. Watch for an updated trailing-12-month customer count and commentary on DFW-area commercial/industrial growth (data centers, industrial reshoring, etc.).</w:t>
      </w:r>
    </w:p>
    <w:p>
      <w:pPr>
        <w:pStyle w:val="Compact"/>
        <w:numPr>
          <w:ilvl w:val="0"/>
          <w:numId w:val="1003"/>
        </w:numPr>
      </w:pPr>
      <w:r>
        <w:rPr>
          <w:b/>
          <w:bCs/>
        </w:rPr>
        <w:t xml:space="preserve">FY26 guidance reaffirmation/raise:</w:t>
      </w:r>
      <w:r>
        <w:t xml:space="preserve"> </w:t>
      </w:r>
      <w:r>
        <w:t xml:space="preserve">Given the Waha crosscurrent, the key headline may not be the Q3 beat/miss itself but whether management reaffirms, raises, or trims the</w:t>
      </w:r>
      <w:r>
        <w:t xml:space="preserve"> </w:t>
      </w:r>
      <m:oMath>
        <m:r>
          <m:t>8.40</m:t>
        </m:r>
        <m:r>
          <m:rPr>
            <m:sty m:val="p"/>
          </m:rPr>
          <m:t>−</m:t>
        </m:r>
      </m:oMath>
      <w:r>
        <w:t xml:space="preserve">8.50 full-year EPS range and reiterates the 6-8% long-term growth algorithm off that base for FY27.</w:t>
      </w:r>
    </w:p>
    <w:bookmarkEnd w:id="13"/>
    <w:bookmarkStart w:id="14" w:name="bottom-line"/>
    <w:p>
      <w:pPr>
        <w:pStyle w:val="Heading2"/>
      </w:pPr>
      <w:r>
        <w:t xml:space="preserve">Bottom Line</w:t>
      </w:r>
    </w:p>
    <w:p>
      <w:pPr>
        <w:pStyle w:val="FirstParagraph"/>
      </w:pPr>
      <w:r>
        <w:t xml:space="preserve">Atmos comes into this print riding a strong fiscal 2026 driven by a one-time regulatory rebasing (Texas Rule 7.7102) and an unusually wide, temporary Permian basis dislocation that boosted APT's through-system economics. Both tailwinds were explicitly flagged by management as attention items, and evidence has emerged since the Q2 call that Permian pipeline capacity additions are narrowing the Waha discount faster than some may have expected. The core distribution business (rate base growth, customer additions, constructive regulatory outcomes in Texas) remains steady and unremarkable — in the good sense — for a low-risk gas utility. The swing factor for the stock's reaction is likely to be management's tone on how much of the FY26 upside is durable into FY27, rather than the Q3 print itself, given consensus already sits close to the implied run-rate from prior guidance.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2026-08-05T01:28:10Z</dcterms:created>
  <dcterms:modified xsi:type="dcterms:W3CDTF">2026-08-05T01:28:10Z</dcterms:modified>
</cp:coreProperties>
</file>

<file path=docProps/custom.xml><?xml version="1.0" encoding="utf-8"?>
<Properties xmlns="http://schemas.openxmlformats.org/officeDocument/2006/custom-properties" xmlns:vt="http://schemas.openxmlformats.org/officeDocument/2006/docPropsVTypes"/>
</file>