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to-earnings-predictions--2026-08-05"/>
    <w:p>
      <w:pPr>
        <w:pStyle w:val="Heading1"/>
      </w:pPr>
      <w:r>
        <w:t xml:space="preserve">ATO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~$1.42 vs. cons $1.36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~$945M vs. cons $938.5M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Nine-month capital expenditures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~$3.15B vs. cons $3.10B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2026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8.45</m:t>
              </m:r>
              <m:r>
                <m:rPr>
                  <m:sty m:val="p"/>
                </m:rPr>
                <m:t>−</m:t>
              </m:r>
            </m:oMath>
            <w:r>
              <w:t xml:space="preserve">8.55, midpoint $8.50 vs. cons $8.44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Capital-expenditure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~$4.20B vs. cons $4.20B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Texas Rule 7.7102 pretax benefit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~$160M midpoint vs. cons $160M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O&amp;M expense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~$875M midpoint vs. cons $875M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roughly 4.4% Q3 EPS beat and a ~</w:t>
            </w:r>
            <m:oMath>
              <m:r>
                <m:t>0.05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a</m:t>
              </m:r>
              <m:r>
                <m:t>s</m:t>
              </m:r>
              <m:r>
                <m:t>e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f</m:t>
              </m:r>
              <m:r>
                <m:t>i</m:t>
              </m:r>
              <m:r>
                <m:t>s</m:t>
              </m:r>
              <m:r>
                <m:t>c</m:t>
              </m:r>
              <m:r>
                <m:t>a</m:t>
              </m:r>
              <m:r>
                <m:t>l</m:t>
              </m:r>
              <m:r>
                <m:t>Q</m:t>
              </m:r>
              <m:r>
                <m:t>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1.16 versus consensus near $1.16 leaves little room for upward out-period revisions; therefore, the predicted +1.4% day-1 residual fades to +0.5%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2026-08-05T01:27:49Z</dcterms:created>
  <dcterms:modified xsi:type="dcterms:W3CDTF">2026-08-05T01:27:49Z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