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1f2fba5a7fca0b3bd9a8bb251f476a2b4fccf9"/>
    <w:p>
      <w:pPr>
        <w:pStyle w:val="Heading1"/>
      </w:pPr>
      <w:r>
        <w:t xml:space="preserve">Atmos Energy (NYSE: ATO) Fiscal 2026 Q3 Earnings Preview</w:t>
      </w:r>
    </w:p>
    <w:p>
      <w:pPr>
        <w:pStyle w:val="BlockText"/>
      </w:pPr>
      <w:r>
        <w:rPr>
          <w:b/>
          <w:bCs/>
        </w:rPr>
        <w:t xml:space="preserve">Timing clarification:</w:t>
      </w:r>
      <w:r>
        <w:t xml:space="preserve"> </w:t>
      </w:r>
      <w:r>
        <w:t xml:space="preserve">Atmos Energy is scheduled to release fiscal third-quarter results</w:t>
      </w:r>
      <w:r>
        <w:t xml:space="preserve"> </w:t>
      </w:r>
      <w:r>
        <w:rPr>
          <w:b/>
          <w:bCs/>
        </w:rPr>
        <w:t xml:space="preserve">today, Wednesday, August 5, 2026, after the market closes</w:t>
      </w:r>
      <w:r>
        <w:t xml:space="preserve">. The earnings call is</w:t>
      </w:r>
      <w:r>
        <w:t xml:space="preserve"> </w:t>
      </w:r>
      <w:r>
        <w:rPr>
          <w:b/>
          <w:bCs/>
        </w:rPr>
        <w:t xml:space="preserve">tomorrow, Thursday, August 6, at 10:00 a.m. Eastern</w:t>
      </w:r>
      <w:r>
        <w:t xml:space="preserve">.</w:t>
      </w:r>
    </w:p>
    <w:bookmarkStart w:id="9" w:name="investment-setup"/>
    <w:p>
      <w:pPr>
        <w:pStyle w:val="Heading2"/>
      </w:pPr>
      <w:r>
        <w:t xml:space="preserve">Investment setup</w:t>
      </w:r>
    </w:p>
    <w:p>
      <w:pPr>
        <w:pStyle w:val="FirstParagraph"/>
      </w:pPr>
      <w:r>
        <w:t xml:space="preserve">Atmos enters the report with strong underlying earnings momentum, a recently raised fiscal-year outlook and considerable visibility from regulated infrastructure investment. The central issue is not whether the core utility business remains healthy—it appears to be—but whether three favorable drivers are progressing as expected:</w:t>
      </w:r>
    </w:p>
    <w:p>
      <w:pPr>
        <w:pStyle w:val="Compact"/>
        <w:numPr>
          <w:ilvl w:val="0"/>
          <w:numId w:val="1001"/>
        </w:numPr>
      </w:pPr>
      <w:r>
        <w:rPr>
          <w:b/>
          <w:bCs/>
        </w:rPr>
        <w:t xml:space="preserve">Implementation of pending rate increases</w:t>
      </w:r>
    </w:p>
    <w:p>
      <w:pPr>
        <w:pStyle w:val="Compact"/>
        <w:numPr>
          <w:ilvl w:val="0"/>
          <w:numId w:val="1001"/>
        </w:numPr>
      </w:pPr>
      <w:r>
        <w:rPr>
          <w:b/>
          <w:bCs/>
        </w:rPr>
        <w:t xml:space="preserve">The new Texas infrastructure-cost deferral mechanism</w:t>
      </w:r>
    </w:p>
    <w:p>
      <w:pPr>
        <w:pStyle w:val="Compact"/>
        <w:numPr>
          <w:ilvl w:val="0"/>
          <w:numId w:val="1001"/>
        </w:numPr>
      </w:pPr>
      <w:r>
        <w:rPr>
          <w:b/>
          <w:bCs/>
        </w:rPr>
        <w:t xml:space="preserve">Above-normal earnings from Atmos Pipeline–Texas, or APT, through-system activity</w:t>
      </w:r>
    </w:p>
    <w:p>
      <w:pPr>
        <w:pStyle w:val="FirstParagraph"/>
      </w:pPr>
      <w:r>
        <w:t xml:space="preserve">Management raised fiscal 2026 EPS guidance last quarter to</w:t>
      </w:r>
      <w:r>
        <w:t xml:space="preserve"> </w:t>
      </w:r>
      <m:oMath>
        <m:r>
          <m:t>8.40</m:t>
        </m:r>
        <m:r>
          <m:rPr>
            <m:sty m:val="p"/>
          </m:rPr>
          <m:t>–</m:t>
        </m:r>
      </m:oMath>
      <w:r>
        <w:rPr>
          <w:b/>
          <w:bCs/>
        </w:rPr>
        <w:t xml:space="preserve">8.50</w:t>
      </w:r>
      <w:r>
        <w:t xml:space="preserve">, up from</w:t>
      </w:r>
      <w:r>
        <w:t xml:space="preserve"> </w:t>
      </w:r>
      <m:oMath>
        <m:r>
          <m:t>8.15</m:t>
        </m:r>
        <m:r>
          <m:rPr>
            <m:sty m:val="p"/>
          </m:rPr>
          <m:t>–</m:t>
        </m:r>
      </m:oMath>
      <w:r>
        <w:t xml:space="preserve">8.35, and described that range as an appropriate base for its longer-term</w:t>
      </w:r>
      <w:r>
        <w:t xml:space="preserve"> </w:t>
      </w:r>
      <w:r>
        <w:rPr>
          <w:b/>
          <w:bCs/>
        </w:rPr>
        <w:t xml:space="preserve">6%–8% annual EPS growth target</w:t>
      </w:r>
      <w:r>
        <w:t xml:space="preserve">. The upcoming report needs to reinforce that fiscal 2026 is a durable earnings reset rather than a peak created by temporary pipeline spreads or first-year accounting benefits.</w:t>
      </w:r>
    </w:p>
    <w:bookmarkEnd w:id="9"/>
    <w:bookmarkStart w:id="10" w:name="key-numbers-going-into-the-report"/>
    <w:p>
      <w:pPr>
        <w:pStyle w:val="Heading2"/>
      </w:pPr>
      <w:r>
        <w:t xml:space="preserve">Key numbers going into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reference point</w:t>
            </w:r>
          </w:p>
        </w:tc>
      </w:tr>
      <w:tr>
        <w:tc>
          <w:tcPr/>
          <w:p>
            <w:pPr>
              <w:pStyle w:val="Compact"/>
            </w:pPr>
            <w:r>
              <w:t xml:space="preserve">Fiscal 2026 EPS guidance</w:t>
            </w:r>
          </w:p>
        </w:tc>
        <w:tc>
          <w:tcPr/>
          <w:p>
            <w:pPr>
              <w:pStyle w:val="Compact"/>
              <w:jc w:val="right"/>
            </w:pPr>
            <m:oMath>
              <m:r>
                <m:t>8.40</m:t>
              </m:r>
              <m:r>
                <m:rPr>
                  <m:sty m:val="p"/>
                </m:rPr>
                <m:t>–</m:t>
              </m:r>
            </m:oMath>
            <w:r>
              <w:rPr>
                <w:b/>
                <w:bCs/>
              </w:rPr>
              <w:t xml:space="preserve">8.50</w:t>
            </w:r>
          </w:p>
        </w:tc>
      </w:tr>
      <w:tr>
        <w:tc>
          <w:tcPr/>
          <w:p>
            <w:pPr>
              <w:pStyle w:val="Compact"/>
            </w:pPr>
            <w:r>
              <w:t xml:space="preserve">First-half diluted EPS</w:t>
            </w:r>
          </w:p>
        </w:tc>
        <w:tc>
          <w:tcPr/>
          <w:p>
            <w:pPr>
              <w:pStyle w:val="Compact"/>
              <w:jc w:val="right"/>
            </w:pPr>
            <w:r>
              <w:rPr>
                <w:b/>
                <w:bCs/>
              </w:rPr>
              <w:t xml:space="preserve">$5.92</w:t>
            </w:r>
            <w:r>
              <w:t xml:space="preserve">, up 12.5%</w:t>
            </w:r>
          </w:p>
        </w:tc>
      </w:tr>
      <w:tr>
        <w:tc>
          <w:tcPr/>
          <w:p>
            <w:pPr>
              <w:pStyle w:val="Compact"/>
            </w:pPr>
            <w:r>
              <w:t xml:space="preserve">Implied second-half EPS at guidance midpoint</w:t>
            </w:r>
          </w:p>
        </w:tc>
        <w:tc>
          <w:tcPr/>
          <w:p>
            <w:pPr>
              <w:pStyle w:val="Compact"/>
              <w:jc w:val="right"/>
            </w:pPr>
            <w:r>
              <w:rPr>
                <w:b/>
                <w:bCs/>
              </w:rPr>
              <w:t xml:space="preserve">$2.53</w:t>
            </w:r>
          </w:p>
        </w:tc>
      </w:tr>
      <w:tr>
        <w:tc>
          <w:tcPr/>
          <w:p>
            <w:pPr>
              <w:pStyle w:val="Compact"/>
            </w:pPr>
            <w:r>
              <w:t xml:space="preserve">Rough implied EPS per back-half quarter</w:t>
            </w:r>
          </w:p>
        </w:tc>
        <w:tc>
          <w:tcPr/>
          <w:p>
            <w:pPr>
              <w:pStyle w:val="Compact"/>
              <w:jc w:val="right"/>
            </w:pPr>
            <w:r>
              <w:rPr>
                <w:b/>
                <w:bCs/>
              </w:rPr>
              <w:t xml:space="preserve">$1.27</w:t>
            </w:r>
          </w:p>
        </w:tc>
      </w:tr>
      <w:tr>
        <w:tc>
          <w:tcPr/>
          <w:p>
            <w:pPr>
              <w:pStyle w:val="Compact"/>
            </w:pPr>
            <w:r>
              <w:t xml:space="preserve">Prior-year fiscal Q3 EPS</w:t>
            </w:r>
          </w:p>
        </w:tc>
        <w:tc>
          <w:tcPr/>
          <w:p>
            <w:pPr>
              <w:pStyle w:val="Compact"/>
              <w:jc w:val="right"/>
            </w:pPr>
            <w:r>
              <w:t xml:space="preserve">Approximately</w:t>
            </w:r>
            <w:r>
              <w:t xml:space="preserve"> </w:t>
            </w:r>
            <w:r>
              <w:rPr>
                <w:b/>
                <w:bCs/>
              </w:rPr>
              <w:t xml:space="preserve">$1.14</w:t>
            </w:r>
          </w:p>
        </w:tc>
      </w:tr>
      <w:tr>
        <w:tc>
          <w:tcPr/>
          <w:p>
            <w:pPr>
              <w:pStyle w:val="Compact"/>
            </w:pPr>
            <w:r>
              <w:t xml:space="preserve">Fiscal 2026 capital-spending plan</w:t>
            </w:r>
          </w:p>
        </w:tc>
        <w:tc>
          <w:tcPr/>
          <w:p>
            <w:pPr>
              <w:pStyle w:val="Compact"/>
              <w:jc w:val="right"/>
            </w:pPr>
            <w:r>
              <w:t xml:space="preserve">Approximately</w:t>
            </w:r>
            <w:r>
              <w:t xml:space="preserve"> </w:t>
            </w:r>
            <w:r>
              <w:rPr>
                <w:b/>
                <w:bCs/>
              </w:rPr>
              <w:t xml:space="preserve">$4.2 billion</w:t>
            </w:r>
          </w:p>
        </w:tc>
      </w:tr>
      <w:tr>
        <w:tc>
          <w:tcPr/>
          <w:p>
            <w:pPr>
              <w:pStyle w:val="Compact"/>
            </w:pPr>
            <w:r>
              <w:t xml:space="preserve">First-half capital spending</w:t>
            </w:r>
          </w:p>
        </w:tc>
        <w:tc>
          <w:tcPr/>
          <w:p>
            <w:pPr>
              <w:pStyle w:val="Compact"/>
              <w:jc w:val="right"/>
            </w:pPr>
            <w:r>
              <w:rPr>
                <w:b/>
                <w:bCs/>
              </w:rPr>
              <w:t xml:space="preserve">$2.04 billion</w:t>
            </w:r>
          </w:p>
        </w:tc>
      </w:tr>
      <w:tr>
        <w:tc>
          <w:tcPr/>
          <w:p>
            <w:pPr>
              <w:pStyle w:val="Compact"/>
            </w:pPr>
            <w:r>
              <w:t xml:space="preserve">Expected Texas Rule 7.7102 benefit</w:t>
            </w:r>
          </w:p>
        </w:tc>
        <w:tc>
          <w:tcPr/>
          <w:p>
            <w:pPr>
              <w:pStyle w:val="Compact"/>
              <w:jc w:val="right"/>
            </w:pPr>
            <m:oMath>
              <m:r>
                <m:t>155</m:t>
              </m:r>
              <m:r>
                <m:rPr>
                  <m:sty m:val="p"/>
                </m:rPr>
                <m:t>–</m:t>
              </m:r>
            </m:oMath>
            <w:r>
              <w:rPr>
                <w:b/>
                <w:bCs/>
              </w:rPr>
              <w:t xml:space="preserve">165 million pretax</w:t>
            </w:r>
          </w:p>
        </w:tc>
      </w:tr>
      <w:tr>
        <w:tc>
          <w:tcPr/>
          <w:p>
            <w:pPr>
              <w:pStyle w:val="Compact"/>
            </w:pPr>
            <w:r>
              <w:t xml:space="preserve">Pending annualized regulatory requests at March 31</w:t>
            </w:r>
          </w:p>
        </w:tc>
        <w:tc>
          <w:tcPr/>
          <w:p>
            <w:pPr>
              <w:pStyle w:val="Compact"/>
              <w:jc w:val="right"/>
            </w:pPr>
            <w:r>
              <w:t xml:space="preserve">Approximately</w:t>
            </w:r>
            <w:r>
              <w:t xml:space="preserve"> </w:t>
            </w:r>
            <w:r>
              <w:rPr>
                <w:b/>
                <w:bCs/>
              </w:rPr>
              <w:t xml:space="preserve">$599 million</w:t>
            </w:r>
          </w:p>
        </w:tc>
      </w:tr>
      <w:tr>
        <w:tc>
          <w:tcPr/>
          <w:p>
            <w:pPr>
              <w:pStyle w:val="Compact"/>
            </w:pPr>
            <w:r>
              <w:t xml:space="preserve">Expected FY26 O&amp;M</w:t>
            </w:r>
          </w:p>
        </w:tc>
        <w:tc>
          <w:tcPr/>
          <w:p>
            <w:pPr>
              <w:pStyle w:val="Compact"/>
              <w:jc w:val="right"/>
            </w:pPr>
            <m:oMath>
              <m:r>
                <m:t>865</m:t>
              </m:r>
              <m:r>
                <m:rPr>
                  <m:sty m:val="p"/>
                </m:rPr>
                <m:t>–</m:t>
              </m:r>
            </m:oMath>
            <w:r>
              <w:rPr>
                <w:b/>
                <w:bCs/>
              </w:rPr>
              <w:t xml:space="preserve">885 million</w:t>
            </w:r>
          </w:p>
        </w:tc>
      </w:tr>
      <w:tr>
        <w:tc>
          <w:tcPr/>
          <w:p>
            <w:pPr>
              <w:pStyle w:val="Compact"/>
            </w:pPr>
            <w:r>
              <w:t xml:space="preserve">Indicated annual dividend</w:t>
            </w:r>
          </w:p>
        </w:tc>
        <w:tc>
          <w:tcPr/>
          <w:p>
            <w:pPr>
              <w:pStyle w:val="Compact"/>
              <w:jc w:val="right"/>
            </w:pPr>
            <w:r>
              <w:rPr>
                <w:b/>
                <w:bCs/>
              </w:rPr>
              <w:t xml:space="preserve">$4.00 per share</w:t>
            </w:r>
          </w:p>
        </w:tc>
      </w:tr>
    </w:tbl>
    <w:p>
      <w:pPr>
        <w:pStyle w:val="BodyText"/>
      </w:pPr>
      <w:r>
        <w:t xml:space="preserve">The approximately</w:t>
      </w:r>
      <w:r>
        <w:t xml:space="preserve"> </w:t>
      </w:r>
      <w:r>
        <w:rPr>
          <w:b/>
          <w:bCs/>
        </w:rPr>
        <w:t xml:space="preserve">$1.27</w:t>
      </w:r>
      <w:r>
        <w:t xml:space="preserve"> </w:t>
      </w:r>
      <w:r>
        <w:t xml:space="preserve">quarterly EPS figure is not a consensus estimate. It is the simple midpoint math implied by management's statement that the remaining fiscal-year earnings contribution should be recognized “somewhat evenly” between Q3 and Q4. Given quarter-to-quarter timing effects, an EPS result modestly above or below that figure would matter less than the updated annual outlook.</w:t>
      </w:r>
    </w:p>
    <w:bookmarkEnd w:id="10"/>
    <w:bookmarkStart w:id="17" w:name="what-matters-most"/>
    <w:p>
      <w:pPr>
        <w:pStyle w:val="Heading2"/>
      </w:pPr>
      <w:r>
        <w:t xml:space="preserve">What matters most</w:t>
      </w:r>
    </w:p>
    <w:bookmarkStart w:id="11" w:name="X2c9cfebe408f77a901e580315ae87dc5eeb184c"/>
    <w:p>
      <w:pPr>
        <w:pStyle w:val="Heading3"/>
      </w:pPr>
      <w:r>
        <w:t xml:space="preserve">1. Fiscal-year guidance—and the quality of any change</w:t>
      </w:r>
    </w:p>
    <w:p>
      <w:pPr>
        <w:pStyle w:val="FirstParagraph"/>
      </w:pPr>
      <w:r>
        <w:t xml:space="preserve">A reaffirmation of</w:t>
      </w:r>
      <w:r>
        <w:t xml:space="preserve"> </w:t>
      </w:r>
      <m:oMath>
        <m:r>
          <m:t>8.40</m:t>
        </m:r>
        <m:r>
          <m:rPr>
            <m:sty m:val="p"/>
          </m:rPr>
          <m:t>–</m:t>
        </m:r>
      </m:oMath>
      <w:r>
        <w:rPr>
          <w:b/>
          <w:bCs/>
        </w:rPr>
        <w:t xml:space="preserve">8.50</w:t>
      </w:r>
      <w:r>
        <w:t xml:space="preserve"> </w:t>
      </w:r>
      <w:r>
        <w:t xml:space="preserve">would indicate that execution remains on plan. Movement toward the upper half of the range would be encouraging, particularly if it reflects regulated rate recovery and customer growth rather than another spike in APT's market-sensitive earnings.</w:t>
      </w:r>
    </w:p>
    <w:p>
      <w:pPr>
        <w:pStyle w:val="BodyText"/>
      </w:pPr>
      <w:r>
        <w:t xml:space="preserve">A second guidance increase is possible but should not be considered necessary for a satisfactory report. Management raised guidance by $0.20 at the midpoint only three months ago.</w:t>
      </w:r>
    </w:p>
    <w:p>
      <w:pPr>
        <w:pStyle w:val="BodyText"/>
      </w:pPr>
      <w:r>
        <w:t xml:space="preserve">Investors should distinguish between:</w:t>
      </w:r>
    </w:p>
    <w:p>
      <w:pPr>
        <w:pStyle w:val="Compact"/>
        <w:numPr>
          <w:ilvl w:val="0"/>
          <w:numId w:val="1002"/>
        </w:numPr>
      </w:pPr>
      <w:r>
        <w:rPr>
          <w:b/>
          <w:bCs/>
        </w:rPr>
        <w:t xml:space="preserve">Higher-quality upside:</w:t>
      </w:r>
      <w:r>
        <w:t xml:space="preserve"> </w:t>
      </w:r>
      <w:r>
        <w:t xml:space="preserve">favorable rate outcomes, customer additions, capital deployment and reduced regulatory lag.</w:t>
      </w:r>
    </w:p>
    <w:p>
      <w:pPr>
        <w:pStyle w:val="Compact"/>
        <w:numPr>
          <w:ilvl w:val="0"/>
          <w:numId w:val="1002"/>
        </w:numPr>
      </w:pPr>
      <w:r>
        <w:rPr>
          <w:b/>
          <w:bCs/>
        </w:rPr>
        <w:t xml:space="preserve">Lower-visibility upside:</w:t>
      </w:r>
      <w:r>
        <w:t xml:space="preserve"> </w:t>
      </w:r>
      <w:r>
        <w:t xml:space="preserve">unusually wide Texas gas-basis spreads and incremental APT through-system revenue.</w:t>
      </w:r>
    </w:p>
    <w:p>
      <w:pPr>
        <w:pStyle w:val="Compact"/>
        <w:numPr>
          <w:ilvl w:val="0"/>
          <w:numId w:val="1002"/>
        </w:numPr>
      </w:pPr>
      <w:r>
        <w:rPr>
          <w:b/>
          <w:bCs/>
        </w:rPr>
        <w:t xml:space="preserve">Accounting-driven upside:</w:t>
      </w:r>
      <w:r>
        <w:t xml:space="preserve"> </w:t>
      </w:r>
      <w:r>
        <w:t xml:space="preserve">a larger-than-planned Rule 7.7102 deferral benefit that lifts current earnings but may complicate comparisons.</w:t>
      </w:r>
    </w:p>
    <w:p>
      <w:pPr>
        <w:pStyle w:val="FirstParagraph"/>
      </w:pPr>
      <w:r>
        <w:t xml:space="preserve">The strongest outcome would be guidance at least maintained, with management reiterating that fiscal 2026 EPS is a sustainable base for</w:t>
      </w:r>
      <w:r>
        <w:t xml:space="preserve"> </w:t>
      </w:r>
      <w:r>
        <w:rPr>
          <w:b/>
          <w:bCs/>
        </w:rPr>
        <w:t xml:space="preserve">6%–8% growth in fiscal 2027 and beyond</w:t>
      </w:r>
      <w:r>
        <w:t xml:space="preserve">.</w:t>
      </w:r>
    </w:p>
    <w:bookmarkEnd w:id="11"/>
    <w:bookmarkStart w:id="12" w:name="X77e77753c865a355a8a65204ce43e6b8988612c"/>
    <w:p>
      <w:pPr>
        <w:pStyle w:val="Heading3"/>
      </w:pPr>
      <w:r>
        <w:t xml:space="preserve">2. APT through-system earnings and Waha pricing</w:t>
      </w:r>
    </w:p>
    <w:p>
      <w:pPr>
        <w:pStyle w:val="FirstParagraph"/>
      </w:pPr>
      <w:r>
        <w:t xml:space="preserve">APT was the principal source of upside beyond the regulated base business in the first half. Through-system revenue, net of the customer-sharing Rider REV mechanism, increased by approximately</w:t>
      </w:r>
      <w:r>
        <w:t xml:space="preserve"> </w:t>
      </w:r>
      <w:r>
        <w:rPr>
          <w:b/>
          <w:bCs/>
        </w:rPr>
        <w:t xml:space="preserve">$16 million, or</w:t>
      </w:r>
      <w:r>
        <w:rPr>
          <w:b/>
          <w:bCs/>
        </w:rPr>
        <w:t xml:space="preserve"> </w:t>
      </w:r>
      <m:oMath>
        <m:r>
          <m:t>0.08</m:t>
        </m:r>
        <m:r>
          <m:t>p</m:t>
        </m:r>
        <m:r>
          <m:t>e</m:t>
        </m:r>
        <m:r>
          <m:t>r</m:t>
        </m:r>
        <m:r>
          <m:t>s</m:t>
        </m:r>
        <m:r>
          <m:t>h</m:t>
        </m:r>
        <m:r>
          <m:t>a</m:t>
        </m:r>
        <m:r>
          <m:t>r</m:t>
        </m:r>
        <m:r>
          <m:t>e</m:t>
        </m:r>
        <m:r>
          <m:rPr>
            <m:sty m:val="p"/>
          </m:rPr>
          <m:t>*</m:t>
        </m:r>
        <m:r>
          <m:rPr>
            <m:sty m:val="p"/>
          </m:rPr>
          <m:t>*</m:t>
        </m:r>
        <m:r>
          <m:rPr>
            <m:sty m:val="p"/>
          </m:rPr>
          <m:t>,</m:t>
        </m:r>
        <m:r>
          <m:t>y</m:t>
        </m:r>
        <m:r>
          <m:t>e</m:t>
        </m:r>
        <m:r>
          <m:t>a</m:t>
        </m:r>
        <m:r>
          <m:t>r</m:t>
        </m:r>
        <m:r>
          <m:t>o</m:t>
        </m:r>
        <m:r>
          <m:t>v</m:t>
        </m:r>
        <m:r>
          <m:t>e</m:t>
        </m:r>
        <m:r>
          <m:t>r</m:t>
        </m:r>
        <m:r>
          <m:t>y</m:t>
        </m:r>
        <m:r>
          <m:t>e</m:t>
        </m:r>
        <m:r>
          <m:t>a</m:t>
        </m:r>
        <m:r>
          <m:t>r</m:t>
        </m:r>
        <m:r>
          <m:rPr>
            <m:sty m:val="p"/>
          </m:rPr>
          <m:t>.</m:t>
        </m:r>
        <m:r>
          <m:t>R</m:t>
        </m:r>
        <m:r>
          <m:t>e</m:t>
        </m:r>
        <m:r>
          <m:t>a</m:t>
        </m:r>
        <m:r>
          <m:t>l</m:t>
        </m:r>
        <m:r>
          <m:t>i</m:t>
        </m:r>
        <m:r>
          <m:t>z</m:t>
        </m:r>
        <m:r>
          <m:t>e</m:t>
        </m:r>
        <m:r>
          <m:t>d</m:t>
        </m:r>
        <m:r>
          <m:t>s</m:t>
        </m:r>
        <m:r>
          <m:t>p</m:t>
        </m:r>
        <m:r>
          <m:t>r</m:t>
        </m:r>
        <m:r>
          <m:t>e</m:t>
        </m:r>
        <m:r>
          <m:t>a</m:t>
        </m:r>
        <m:r>
          <m:t>d</m:t>
        </m:r>
        <m:r>
          <m:t>s</m:t>
        </m:r>
        <m:r>
          <m:t>a</m:t>
        </m:r>
        <m:r>
          <m:t>v</m:t>
        </m:r>
        <m:r>
          <m:t>e</m:t>
        </m:r>
        <m:r>
          <m:t>r</m:t>
        </m:r>
        <m:r>
          <m:t>a</m:t>
        </m:r>
        <m:r>
          <m:t>g</m:t>
        </m:r>
        <m:r>
          <m:t>e</m:t>
        </m:r>
        <m:r>
          <m:t>d</m:t>
        </m:r>
        <m:r>
          <m:t>r</m:t>
        </m:r>
        <m:r>
          <m:t>o</m:t>
        </m:r>
        <m:r>
          <m:t>u</m:t>
        </m:r>
        <m:r>
          <m:t>g</m:t>
        </m:r>
        <m:r>
          <m:t>h</m:t>
        </m:r>
        <m:r>
          <m:t>l</m:t>
        </m:r>
        <m:r>
          <m:t>y</m:t>
        </m:r>
        <m:r>
          <m:rPr>
            <m:sty m:val="p"/>
          </m:rPr>
          <m:t>*</m:t>
        </m:r>
        <m:r>
          <m:rPr>
            <m:sty m:val="p"/>
          </m:rPr>
          <m:t>*</m:t>
        </m:r>
      </m:oMath>
      <w:r>
        <w:rPr>
          <w:b/>
          <w:bCs/>
        </w:rPr>
        <w:t xml:space="preserve">4.35</w:t>
      </w:r>
      <w:r>
        <w:t xml:space="preserve">, versus $1.80 in the prior-year period.</w:t>
      </w:r>
    </w:p>
    <w:p>
      <w:pPr>
        <w:pStyle w:val="BodyText"/>
      </w:pPr>
      <w:r>
        <w:t xml:space="preserve">At the previous call, management expected APT through-system activity to contribute another</w:t>
      </w:r>
      <w:r>
        <w:t xml:space="preserve"> </w:t>
      </w:r>
      <m:oMath>
        <m:r>
          <m:t>0.08</m:t>
        </m:r>
        <m:r>
          <m:rPr>
            <m:sty m:val="p"/>
          </m:rPr>
          <m:t>–</m:t>
        </m:r>
      </m:oMath>
      <w:r>
        <w:rPr>
          <w:b/>
          <w:bCs/>
        </w:rPr>
        <w:t xml:space="preserve">0.12</w:t>
      </w:r>
      <w:r>
        <w:t xml:space="preserve"> </w:t>
      </w:r>
      <w:r>
        <w:t xml:space="preserve">during the second half of fiscal 2026.</w:t>
      </w:r>
    </w:p>
    <w:p>
      <w:pPr>
        <w:pStyle w:val="BodyText"/>
      </w:pPr>
      <w:r>
        <w:t xml:space="preserve">Questions for the report and call include:</w:t>
      </w:r>
    </w:p>
    <w:p>
      <w:pPr>
        <w:pStyle w:val="Compact"/>
        <w:numPr>
          <w:ilvl w:val="0"/>
          <w:numId w:val="1003"/>
        </w:numPr>
      </w:pPr>
      <w:r>
        <w:t xml:space="preserve">How much of that expected second-half benefit was recognized in Q3?</w:t>
      </w:r>
    </w:p>
    <w:p>
      <w:pPr>
        <w:pStyle w:val="Compact"/>
        <w:numPr>
          <w:ilvl w:val="0"/>
          <w:numId w:val="1003"/>
        </w:numPr>
      </w:pPr>
      <w:r>
        <w:t xml:space="preserve">Did summer Texas power-generation demand reduce regional gas-price dislocations?</w:t>
      </w:r>
    </w:p>
    <w:p>
      <w:pPr>
        <w:pStyle w:val="Compact"/>
        <w:numPr>
          <w:ilvl w:val="0"/>
          <w:numId w:val="1003"/>
        </w:numPr>
      </w:pPr>
      <w:r>
        <w:t xml:space="preserve">Has management changed its assumptions for the fiscal fourth quarter?</w:t>
      </w:r>
    </w:p>
    <w:p>
      <w:pPr>
        <w:pStyle w:val="Compact"/>
        <w:numPr>
          <w:ilvl w:val="0"/>
          <w:numId w:val="1003"/>
        </w:numPr>
      </w:pPr>
      <w:r>
        <w:t xml:space="preserve">Does the company still believe the current EPS base can support 6%–8% growth if spreads normalize in fiscal 2027?</w:t>
      </w:r>
    </w:p>
    <w:p>
      <w:pPr>
        <w:pStyle w:val="FirstParagraph"/>
      </w:pPr>
      <w:r>
        <w:t xml:space="preserve">APT upside is economically real, but investors should avoid capitalizing unusually favorable spreads as though they were fully recurring.</w:t>
      </w:r>
    </w:p>
    <w:bookmarkEnd w:id="12"/>
    <w:bookmarkStart w:id="13" w:name="X62cc82952353189068e84d3c0c060986033c959"/>
    <w:p>
      <w:pPr>
        <w:pStyle w:val="Heading3"/>
      </w:pPr>
      <w:r>
        <w:t xml:space="preserve">3. Texas Rule 7.7102</w:t>
      </w:r>
    </w:p>
    <w:p>
      <w:pPr>
        <w:pStyle w:val="FirstParagraph"/>
      </w:pPr>
      <w:r>
        <w:t xml:space="preserve">The finalized Texas rule allows Atmos to defer certain post-in-service costs—including carrying costs, depreciation and ad valorem taxes—associated with qualifying infrastructure that is not yet reflected in customer rates. This substantially reduces regulatory lag.</w:t>
      </w:r>
    </w:p>
    <w:p>
      <w:pPr>
        <w:pStyle w:val="BodyText"/>
      </w:pPr>
      <w:r>
        <w:t xml:space="preserve">Atmos recorded a</w:t>
      </w:r>
      <w:r>
        <w:t xml:space="preserve"> </w:t>
      </w:r>
      <w:r>
        <w:rPr>
          <w:b/>
          <w:bCs/>
        </w:rPr>
        <w:t xml:space="preserve">$93.6 million pretax benefit in the first half</w:t>
      </w:r>
      <w:r>
        <w:t xml:space="preserve">, including:</w:t>
      </w:r>
    </w:p>
    <w:p>
      <w:pPr>
        <w:pStyle w:val="Compact"/>
        <w:numPr>
          <w:ilvl w:val="0"/>
          <w:numId w:val="1004"/>
        </w:numPr>
      </w:pPr>
      <w:r>
        <w:rPr>
          <w:b/>
          <w:bCs/>
        </w:rPr>
        <w:t xml:space="preserve">$44 million</w:t>
      </w:r>
      <w:r>
        <w:t xml:space="preserve"> </w:t>
      </w:r>
      <w:r>
        <w:t xml:space="preserve">in Distribution</w:t>
      </w:r>
    </w:p>
    <w:p>
      <w:pPr>
        <w:pStyle w:val="Compact"/>
        <w:numPr>
          <w:ilvl w:val="0"/>
          <w:numId w:val="1004"/>
        </w:numPr>
      </w:pPr>
      <w:r>
        <w:t xml:space="preserve">Approximately</w:t>
      </w:r>
      <w:r>
        <w:t xml:space="preserve"> </w:t>
      </w:r>
      <w:r>
        <w:rPr>
          <w:b/>
          <w:bCs/>
        </w:rPr>
        <w:t xml:space="preserve">$50 million</w:t>
      </w:r>
      <w:r>
        <w:t xml:space="preserve"> </w:t>
      </w:r>
      <w:r>
        <w:t xml:space="preserve">in Pipeline and Storage</w:t>
      </w:r>
    </w:p>
    <w:p>
      <w:pPr>
        <w:pStyle w:val="FirstParagraph"/>
      </w:pPr>
      <w:r>
        <w:t xml:space="preserve">Management expects a full-year benefit of</w:t>
      </w:r>
      <w:r>
        <w:t xml:space="preserve"> </w:t>
      </w:r>
      <m:oMath>
        <m:r>
          <m:t>155</m:t>
        </m:r>
        <m:r>
          <m:rPr>
            <m:sty m:val="p"/>
          </m:rPr>
          <m:t>–</m:t>
        </m:r>
      </m:oMath>
      <w:r>
        <w:rPr>
          <w:b/>
          <w:bCs/>
        </w:rPr>
        <w:t xml:space="preserve">165 million pretax</w:t>
      </w:r>
      <w:r>
        <w:t xml:space="preserve">. The report should therefore include another meaningful contribution, but investors should focus on whether the benefit remains within the forecast range and whether the presentation is clear.</w:t>
      </w:r>
    </w:p>
    <w:p>
      <w:pPr>
        <w:pStyle w:val="BodyText"/>
      </w:pPr>
      <w:r>
        <w:t xml:space="preserve">The company changed the income-statement classification of portions of the deferral last quarter, moving amounts into the line items where the underlying costs were incurred. This lowered reported O&amp;M but did not change net income. Comparability is therefore more complicated than usual.</w:t>
      </w:r>
    </w:p>
    <w:p>
      <w:pPr>
        <w:pStyle w:val="BodyText"/>
      </w:pPr>
      <w:r>
        <w:t xml:space="preserve">The most useful disclosure would reconcile:</w:t>
      </w:r>
    </w:p>
    <w:p>
      <w:pPr>
        <w:pStyle w:val="Compact"/>
        <w:numPr>
          <w:ilvl w:val="0"/>
          <w:numId w:val="1005"/>
        </w:numPr>
      </w:pPr>
      <w:r>
        <w:t xml:space="preserve">Reported O&amp;M growth</w:t>
      </w:r>
    </w:p>
    <w:p>
      <w:pPr>
        <w:pStyle w:val="Compact"/>
        <w:numPr>
          <w:ilvl w:val="0"/>
          <w:numId w:val="1005"/>
        </w:numPr>
      </w:pPr>
      <w:r>
        <w:t xml:space="preserve">O&amp;M excluding Rule 7.7102</w:t>
      </w:r>
    </w:p>
    <w:p>
      <w:pPr>
        <w:pStyle w:val="Compact"/>
        <w:numPr>
          <w:ilvl w:val="0"/>
          <w:numId w:val="1005"/>
        </w:numPr>
      </w:pPr>
      <w:r>
        <w:t xml:space="preserve">The total pretax earnings benefit</w:t>
      </w:r>
    </w:p>
    <w:p>
      <w:pPr>
        <w:pStyle w:val="Compact"/>
        <w:numPr>
          <w:ilvl w:val="0"/>
          <w:numId w:val="1005"/>
        </w:numPr>
      </w:pPr>
      <w:r>
        <w:t xml:space="preserve">Management's expected steady-state contribution after fiscal 2026</w:t>
      </w:r>
    </w:p>
    <w:bookmarkEnd w:id="13"/>
    <w:bookmarkStart w:id="14" w:name="X220fb5085e420a4f9fed0c9175fc261e3718434"/>
    <w:p>
      <w:pPr>
        <w:pStyle w:val="Heading3"/>
      </w:pPr>
      <w:r>
        <w:t xml:space="preserve">4. Regulatory execution</w:t>
      </w:r>
    </w:p>
    <w:p>
      <w:pPr>
        <w:pStyle w:val="FirstParagraph"/>
      </w:pPr>
      <w:r>
        <w:t xml:space="preserve">At March 31, Atmos had approximately</w:t>
      </w:r>
      <w:r>
        <w:t xml:space="preserve"> </w:t>
      </w:r>
      <w:r>
        <w:rPr>
          <w:b/>
          <w:bCs/>
        </w:rPr>
        <w:t xml:space="preserve">$599 million of annualized operating-income requests in progress</w:t>
      </w:r>
      <w:r>
        <w:t xml:space="preserve"> </w:t>
      </w:r>
      <w:r>
        <w:t xml:space="preserve">and expected to implement roughly 40% of that amount, primarily during fiscal Q3.</w:t>
      </w:r>
    </w:p>
    <w:p>
      <w:pPr>
        <w:pStyle w:val="BodyText"/>
      </w:pPr>
      <w:r>
        <w:t xml:space="preserve">The largest item was APT's filing seeking approximately</w:t>
      </w:r>
      <w:r>
        <w:t xml:space="preserve"> </w:t>
      </w:r>
      <w:r>
        <w:rPr>
          <w:b/>
          <w:bCs/>
        </w:rPr>
        <w:t xml:space="preserve">$112 million</w:t>
      </w:r>
      <w:r>
        <w:t xml:space="preserve"> </w:t>
      </w:r>
      <w:r>
        <w:t xml:space="preserve">in annualized operating income. Investors should look for a detailed update on:</w:t>
      </w:r>
    </w:p>
    <w:p>
      <w:pPr>
        <w:pStyle w:val="Compact"/>
        <w:numPr>
          <w:ilvl w:val="0"/>
          <w:numId w:val="1006"/>
        </w:numPr>
      </w:pPr>
      <w:r>
        <w:t xml:space="preserve">The final APT outcome and effective date</w:t>
      </w:r>
    </w:p>
    <w:p>
      <w:pPr>
        <w:pStyle w:val="Compact"/>
        <w:numPr>
          <w:ilvl w:val="0"/>
          <w:numId w:val="1006"/>
        </w:numPr>
      </w:pPr>
      <w:r>
        <w:t xml:space="preserve">Mid-Tex formula-rate and infrastructure filings</w:t>
      </w:r>
    </w:p>
    <w:p>
      <w:pPr>
        <w:pStyle w:val="Compact"/>
        <w:numPr>
          <w:ilvl w:val="0"/>
          <w:numId w:val="1006"/>
        </w:numPr>
      </w:pPr>
      <w:r>
        <w:t xml:space="preserve">The amount of annualized operating income implemented during Q3</w:t>
      </w:r>
    </w:p>
    <w:p>
      <w:pPr>
        <w:pStyle w:val="Compact"/>
        <w:numPr>
          <w:ilvl w:val="0"/>
          <w:numId w:val="1006"/>
        </w:numPr>
      </w:pPr>
      <w:r>
        <w:t xml:space="preserve">Any settlements meaningfully below requested levels</w:t>
      </w:r>
    </w:p>
    <w:p>
      <w:pPr>
        <w:pStyle w:val="Compact"/>
        <w:numPr>
          <w:ilvl w:val="0"/>
          <w:numId w:val="1006"/>
        </w:numPr>
      </w:pPr>
      <w:r>
        <w:t xml:space="preserve">Whether rate timing remains consistent with the full-year forecast</w:t>
      </w:r>
    </w:p>
    <w:p>
      <w:pPr>
        <w:pStyle w:val="FirstParagraph"/>
      </w:pPr>
      <w:r>
        <w:t xml:space="preserve">This is arguably the most important indicator of earnings quality. Timely rate implementation converts the capital program into durable regulated earnings and reduces dependence on market-sensitive APT revenue.</w:t>
      </w:r>
    </w:p>
    <w:bookmarkEnd w:id="14"/>
    <w:bookmarkStart w:id="15" w:name="X97e281d0c259889cfc890c63e22e22029f62e4c"/>
    <w:p>
      <w:pPr>
        <w:pStyle w:val="Heading3"/>
      </w:pPr>
      <w:r>
        <w:t xml:space="preserve">5. Capital spending and funding</w:t>
      </w:r>
    </w:p>
    <w:p>
      <w:pPr>
        <w:pStyle w:val="FirstParagraph"/>
      </w:pPr>
      <w:r>
        <w:t xml:space="preserve">Atmos spent approximately</w:t>
      </w:r>
      <w:r>
        <w:t xml:space="preserve"> </w:t>
      </w:r>
      <m:oMath>
        <m:r>
          <m:t>2.04</m:t>
        </m:r>
        <m:r>
          <m:t>b</m:t>
        </m:r>
        <m:r>
          <m:t>i</m:t>
        </m:r>
        <m:r>
          <m:t>l</m:t>
        </m:r>
        <m:r>
          <m:t>l</m:t>
        </m:r>
        <m:r>
          <m:t>i</m:t>
        </m:r>
        <m:r>
          <m:t>o</m:t>
        </m:r>
        <m:r>
          <m:t>n</m:t>
        </m:r>
        <m:r>
          <m:rPr>
            <m:sty m:val="p"/>
          </m:rPr>
          <m:t>*</m:t>
        </m:r>
        <m:r>
          <m:rPr>
            <m:sty m:val="p"/>
          </m:rPr>
          <m:t>*</m:t>
        </m:r>
        <m:r>
          <m:t>d</m:t>
        </m:r>
        <m:r>
          <m:t>u</m:t>
        </m:r>
        <m:r>
          <m:t>r</m:t>
        </m:r>
        <m:r>
          <m:t>i</m:t>
        </m:r>
        <m:r>
          <m:t>n</m:t>
        </m:r>
        <m:r>
          <m:t>g</m:t>
        </m:r>
        <m:r>
          <m:t>t</m:t>
        </m:r>
        <m:r>
          <m:t>h</m:t>
        </m:r>
        <m:r>
          <m:t>e</m:t>
        </m:r>
        <m:r>
          <m:t>f</m:t>
        </m:r>
        <m:r>
          <m:t>i</m:t>
        </m:r>
        <m:r>
          <m:t>r</m:t>
        </m:r>
        <m:r>
          <m:t>s</m:t>
        </m:r>
        <m:r>
          <m:t>t</m:t>
        </m:r>
        <m:r>
          <m:t>h</m:t>
        </m:r>
        <m:r>
          <m:t>a</m:t>
        </m:r>
        <m:r>
          <m:t>l</m:t>
        </m:r>
        <m:r>
          <m:t>f</m:t>
        </m:r>
        <m:r>
          <m:t>a</m:t>
        </m:r>
        <m:r>
          <m:t>g</m:t>
        </m:r>
        <m:r>
          <m:t>a</m:t>
        </m:r>
        <m:r>
          <m:t>i</m:t>
        </m:r>
        <m:r>
          <m:t>n</m:t>
        </m:r>
        <m:r>
          <m:t>s</m:t>
        </m:r>
        <m:r>
          <m:t>t</m:t>
        </m:r>
        <m:r>
          <m:t>i</m:t>
        </m:r>
        <m:r>
          <m:t>t</m:t>
        </m:r>
        <m:r>
          <m:t>s</m:t>
        </m:r>
        <m:r>
          <m:rPr>
            <m:sty m:val="p"/>
          </m:rPr>
          <m:t>*</m:t>
        </m:r>
        <m:r>
          <m:rPr>
            <m:sty m:val="p"/>
          </m:rPr>
          <m:t>*</m:t>
        </m:r>
      </m:oMath>
      <w:r>
        <w:rPr>
          <w:b/>
          <w:bCs/>
        </w:rPr>
        <w:t xml:space="preserve">4.2 billion</w:t>
      </w:r>
      <w:r>
        <w:t xml:space="preserve"> </w:t>
      </w:r>
      <w:r>
        <w:t xml:space="preserve">fiscal-year plan. Management therefore needs to deploy roughly $2.16 billion in the second half, implying a faster pace than in the first six months.</w:t>
      </w:r>
    </w:p>
    <w:p>
      <w:pPr>
        <w:pStyle w:val="BodyText"/>
      </w:pPr>
      <w:r>
        <w:t xml:space="preserve">Execution risk appears manageable, but investors should watch for labor, materials, permitting or project-timing issues. A reduction in capital spending would protect near-term cash flow but could modestly reduce future rate-base growth.</w:t>
      </w:r>
    </w:p>
    <w:p>
      <w:pPr>
        <w:pStyle w:val="BodyText"/>
      </w:pPr>
      <w:r>
        <w:t xml:space="preserve">Financing appears well covered:</w:t>
      </w:r>
    </w:p>
    <w:p>
      <w:pPr>
        <w:pStyle w:val="Compact"/>
        <w:numPr>
          <w:ilvl w:val="0"/>
          <w:numId w:val="1007"/>
        </w:numPr>
      </w:pPr>
      <w:r>
        <w:t xml:space="preserve">Equity capitalization was approximately</w:t>
      </w:r>
      <w:r>
        <w:t xml:space="preserve"> </w:t>
      </w:r>
      <w:r>
        <w:rPr>
          <w:b/>
          <w:bCs/>
        </w:rPr>
        <w:t xml:space="preserve">61%</w:t>
      </w:r>
      <w:r>
        <w:t xml:space="preserve"> </w:t>
      </w:r>
      <w:r>
        <w:t xml:space="preserve">at March 31.</w:t>
      </w:r>
    </w:p>
    <w:p>
      <w:pPr>
        <w:pStyle w:val="Compact"/>
        <w:numPr>
          <w:ilvl w:val="0"/>
          <w:numId w:val="1007"/>
        </w:numPr>
      </w:pPr>
      <w:r>
        <w:t xml:space="preserve">Available liquidity was approximately</w:t>
      </w:r>
      <w:r>
        <w:t xml:space="preserve"> </w:t>
      </w:r>
      <w:r>
        <w:rPr>
          <w:b/>
          <w:bCs/>
        </w:rPr>
        <w:t xml:space="preserve">$4.1 billion</w:t>
      </w:r>
      <w:r>
        <w:t xml:space="preserve">.</w:t>
      </w:r>
    </w:p>
    <w:p>
      <w:pPr>
        <w:pStyle w:val="Compact"/>
        <w:numPr>
          <w:ilvl w:val="0"/>
          <w:numId w:val="1007"/>
        </w:numPr>
      </w:pPr>
      <w:r>
        <w:t xml:space="preserve">Atmos had approximately</w:t>
      </w:r>
      <w:r>
        <w:t xml:space="preserve"> </w:t>
      </w:r>
      <w:r>
        <w:rPr>
          <w:b/>
          <w:bCs/>
        </w:rPr>
        <w:t xml:space="preserve">$890 million</w:t>
      </w:r>
      <w:r>
        <w:t xml:space="preserve"> </w:t>
      </w:r>
      <w:r>
        <w:t xml:space="preserve">of proceeds available under equity forward agreements.</w:t>
      </w:r>
    </w:p>
    <w:p>
      <w:pPr>
        <w:pStyle w:val="Compact"/>
        <w:numPr>
          <w:ilvl w:val="0"/>
          <w:numId w:val="1007"/>
        </w:numPr>
      </w:pPr>
      <w:r>
        <w:t xml:space="preserve">In June, the company completed a</w:t>
      </w:r>
      <w:r>
        <w:t xml:space="preserve"> </w:t>
      </w:r>
      <w:r>
        <w:rPr>
          <w:b/>
          <w:bCs/>
        </w:rPr>
        <w:t xml:space="preserve">$700 million, 4.75% senior-note offering due 2032</w:t>
      </w:r>
      <w:r>
        <w:t xml:space="preserve">, receiving approximately $694 million of net proceeds.</w:t>
      </w:r>
    </w:p>
    <w:p>
      <w:pPr>
        <w:pStyle w:val="FirstParagraph"/>
      </w:pPr>
      <w:r>
        <w:t xml:space="preserve">The principal concern is not access to capital but the cost and dilution associated with funding the investment plan. Diluted weighted-average shares increased approximately</w:t>
      </w:r>
      <w:r>
        <w:t xml:space="preserve"> </w:t>
      </w:r>
      <w:r>
        <w:rPr>
          <w:b/>
          <w:bCs/>
        </w:rPr>
        <w:t xml:space="preserve">4.5%</w:t>
      </w:r>
      <w:r>
        <w:t xml:space="preserve"> </w:t>
      </w:r>
      <w:r>
        <w:t xml:space="preserve">year over year in the first half, meaning net-income growth must continue to exceed share issuance for EPS growth to remain in the target range.</w:t>
      </w:r>
    </w:p>
    <w:bookmarkEnd w:id="15"/>
    <w:bookmarkStart w:id="16" w:name="X1c89c37639b6f18e68b66bd811da3e0b117bdd3"/>
    <w:p>
      <w:pPr>
        <w:pStyle w:val="Heading3"/>
      </w:pPr>
      <w:r>
        <w:t xml:space="preserve">6. Core operating trends</w:t>
      </w:r>
    </w:p>
    <w:p>
      <w:pPr>
        <w:pStyle w:val="FirstParagraph"/>
      </w:pPr>
      <w:r>
        <w:t xml:space="preserve">The underlying distribution business was healthy through March:</w:t>
      </w:r>
    </w:p>
    <w:p>
      <w:pPr>
        <w:pStyle w:val="Compact"/>
        <w:numPr>
          <w:ilvl w:val="0"/>
          <w:numId w:val="1008"/>
        </w:numPr>
      </w:pPr>
      <w:r>
        <w:t xml:space="preserve">Rate adjustments increased first-half Distribution operating income by approximately</w:t>
      </w:r>
      <w:r>
        <w:t xml:space="preserve"> </w:t>
      </w:r>
      <w:r>
        <w:rPr>
          <w:b/>
          <w:bCs/>
        </w:rPr>
        <w:t xml:space="preserve">$131 million</w:t>
      </w:r>
      <w:r>
        <w:t xml:space="preserve">.</w:t>
      </w:r>
    </w:p>
    <w:p>
      <w:pPr>
        <w:pStyle w:val="Compact"/>
        <w:numPr>
          <w:ilvl w:val="0"/>
          <w:numId w:val="1008"/>
        </w:numPr>
      </w:pPr>
      <w:r>
        <w:t xml:space="preserve">Customer growth and industrial load contributed approximately</w:t>
      </w:r>
      <w:r>
        <w:t xml:space="preserve"> </w:t>
      </w:r>
      <w:r>
        <w:rPr>
          <w:b/>
          <w:bCs/>
        </w:rPr>
        <w:t xml:space="preserve">$10 million</w:t>
      </w:r>
      <w:r>
        <w:t xml:space="preserve">.</w:t>
      </w:r>
    </w:p>
    <w:p>
      <w:pPr>
        <w:pStyle w:val="Compact"/>
        <w:numPr>
          <w:ilvl w:val="0"/>
          <w:numId w:val="1008"/>
        </w:numPr>
      </w:pPr>
      <w:r>
        <w:t xml:space="preserve">Atmos added more than</w:t>
      </w:r>
      <w:r>
        <w:t xml:space="preserve"> </w:t>
      </w:r>
      <w:r>
        <w:rPr>
          <w:b/>
          <w:bCs/>
        </w:rPr>
        <w:t xml:space="preserve">51,000 customers</w:t>
      </w:r>
      <w:r>
        <w:t xml:space="preserve"> </w:t>
      </w:r>
      <w:r>
        <w:t xml:space="preserve">over the preceding 12 months, including more than 39,000 in Texas.</w:t>
      </w:r>
    </w:p>
    <w:p>
      <w:pPr>
        <w:pStyle w:val="Compact"/>
        <w:numPr>
          <w:ilvl w:val="0"/>
          <w:numId w:val="1008"/>
        </w:numPr>
      </w:pPr>
      <w:r>
        <w:t xml:space="preserve">Distribution meters increased to approximately</w:t>
      </w:r>
      <w:r>
        <w:t xml:space="preserve"> </w:t>
      </w:r>
      <w:r>
        <w:rPr>
          <w:b/>
          <w:bCs/>
        </w:rPr>
        <w:t xml:space="preserve">3.44 million</w:t>
      </w:r>
      <w:r>
        <w:t xml:space="preserve">.</w:t>
      </w:r>
    </w:p>
    <w:p>
      <w:pPr>
        <w:pStyle w:val="FirstParagraph"/>
      </w:pPr>
      <w:r>
        <w:t xml:space="preserve">Weather should not dominate the result because normalization mechanisms cover approximately</w:t>
      </w:r>
      <w:r>
        <w:t xml:space="preserve"> </w:t>
      </w:r>
      <w:r>
        <w:rPr>
          <w:b/>
          <w:bCs/>
        </w:rPr>
        <w:t xml:space="preserve">97% of residential and commercial revenue</w:t>
      </w:r>
      <w:r>
        <w:t xml:space="preserve">. Revenue and gas volumes can consequently be misleading headline indicators. Rate recovery, customer count, load growth and operating income are more meaningful.</w:t>
      </w:r>
    </w:p>
    <w:p>
      <w:pPr>
        <w:pStyle w:val="BodyText"/>
      </w:pPr>
      <w:r>
        <w:t xml:space="preserve">Cost control deserves attention. Excluding Rule 7.7102 accounting, first-half O&amp;M increased due to employee costs, compliance work, system monitoring and maintenance. Management maintained full-year O&amp;M guidance of</w:t>
      </w:r>
      <w:r>
        <w:t xml:space="preserve"> </w:t>
      </w:r>
      <m:oMath>
        <m:r>
          <m:t>865</m:t>
        </m:r>
        <m:r>
          <m:rPr>
            <m:sty m:val="p"/>
          </m:rPr>
          <m:t>–</m:t>
        </m:r>
      </m:oMath>
      <w:r>
        <w:rPr>
          <w:b/>
          <w:bCs/>
        </w:rPr>
        <w:t xml:space="preserve">885 million</w:t>
      </w:r>
      <w:r>
        <w:t xml:space="preserve">, but higher safety and compliance spending was expected to offset much of the accounting-related reduction.</w:t>
      </w:r>
    </w:p>
    <w:bookmarkEnd w:id="16"/>
    <w:bookmarkEnd w:id="17"/>
    <w:bookmarkStart w:id="18" w:name="stock-setup-and-valuation"/>
    <w:p>
      <w:pPr>
        <w:pStyle w:val="Heading2"/>
      </w:pPr>
      <w:r>
        <w:t xml:space="preserve">Stock setup and valuation</w:t>
      </w:r>
    </w:p>
    <w:p>
      <w:pPr>
        <w:pStyle w:val="FirstParagraph"/>
      </w:pPr>
      <w:r>
        <w:t xml:space="preserve">ATO closed at</w:t>
      </w:r>
      <w:r>
        <w:t xml:space="preserve"> </w:t>
      </w:r>
      <w:r>
        <w:rPr>
          <w:b/>
          <w:bCs/>
        </w:rPr>
        <w:t xml:space="preserve">$172.68 on August 4</w:t>
      </w:r>
      <w:r>
        <w:t xml:space="preserve">.</w:t>
      </w:r>
    </w:p>
    <w:p>
      <w:pPr>
        <w:pStyle w:val="Compact"/>
        <w:numPr>
          <w:ilvl w:val="0"/>
          <w:numId w:val="1009"/>
        </w:numPr>
      </w:pPr>
      <w:r>
        <w:t xml:space="preserve">The shares were up approximately</w:t>
      </w:r>
      <w:r>
        <w:t xml:space="preserve"> </w:t>
      </w:r>
      <w:r>
        <w:rPr>
          <w:b/>
          <w:bCs/>
        </w:rPr>
        <w:t xml:space="preserve">10% over the prior year</w:t>
      </w:r>
      <w:r>
        <w:t xml:space="preserve">, versus roughly 2% for the Utilities Select Sector SPDR Fund.</w:t>
      </w:r>
    </w:p>
    <w:p>
      <w:pPr>
        <w:pStyle w:val="Compact"/>
        <w:numPr>
          <w:ilvl w:val="0"/>
          <w:numId w:val="1009"/>
        </w:numPr>
      </w:pPr>
      <w:r>
        <w:t xml:space="preserve">Since the May 6 fiscal-Q2 release, ATO had declined approximately</w:t>
      </w:r>
      <w:r>
        <w:t xml:space="preserve"> </w:t>
      </w:r>
      <w:r>
        <w:rPr>
          <w:b/>
          <w:bCs/>
        </w:rPr>
        <w:t xml:space="preserve">6.5%</w:t>
      </w:r>
      <w:r>
        <w:t xml:space="preserve">, compared with about 3.5% for the utility ETF.</w:t>
      </w:r>
    </w:p>
    <w:p>
      <w:pPr>
        <w:pStyle w:val="Compact"/>
        <w:numPr>
          <w:ilvl w:val="0"/>
          <w:numId w:val="1009"/>
        </w:numPr>
      </w:pPr>
      <w:r>
        <w:t xml:space="preserve">The stock was approximately</w:t>
      </w:r>
      <w:r>
        <w:t xml:space="preserve"> </w:t>
      </w:r>
      <w:r>
        <w:rPr>
          <w:b/>
          <w:bCs/>
        </w:rPr>
        <w:t xml:space="preserve">10% below</w:t>
      </w:r>
      <w:r>
        <w:t xml:space="preserve"> </w:t>
      </w:r>
      <w:r>
        <w:t xml:space="preserve">its April high.</w:t>
      </w:r>
    </w:p>
    <w:p>
      <w:pPr>
        <w:pStyle w:val="Compact"/>
        <w:numPr>
          <w:ilvl w:val="0"/>
          <w:numId w:val="1009"/>
        </w:numPr>
      </w:pPr>
      <w:r>
        <w:t xml:space="preserve">At the $8.45 guidance midpoint, ATO trades at roughly</w:t>
      </w:r>
      <w:r>
        <w:t xml:space="preserve"> </w:t>
      </w:r>
      <w:r>
        <w:rPr>
          <w:b/>
          <w:bCs/>
        </w:rPr>
        <w:t xml:space="preserve">20.4 times fiscal 2026 EPS</w:t>
      </w:r>
      <w:r>
        <w:t xml:space="preserve">.</w:t>
      </w:r>
    </w:p>
    <w:p>
      <w:pPr>
        <w:pStyle w:val="Compact"/>
        <w:numPr>
          <w:ilvl w:val="0"/>
          <w:numId w:val="1009"/>
        </w:numPr>
      </w:pPr>
      <w:r>
        <w:t xml:space="preserve">The indicated $4 annual dividend implies a yield of approximately</w:t>
      </w:r>
      <w:r>
        <w:t xml:space="preserve"> </w:t>
      </w:r>
      <w:r>
        <w:rPr>
          <w:b/>
          <w:bCs/>
        </w:rPr>
        <w:t xml:space="preserve">2.3%</w:t>
      </w:r>
      <w:r>
        <w:t xml:space="preserve">.</w:t>
      </w:r>
    </w:p>
    <w:p>
      <w:pPr>
        <w:pStyle w:val="FirstParagraph"/>
      </w:pPr>
      <w:r>
        <w:t xml:space="preserve">The pullback reduces the immediate earnings hurdle, but a 20-times earnings multiple still assumes reliable regulatory execution and a credible path to upper-single-digit EPS growth. The valuation leaves limited room for a guide-down, delayed capital deployment or a weaker fiscal 2027 outlook.</w:t>
      </w:r>
    </w:p>
    <w:bookmarkEnd w:id="18"/>
    <w:bookmarkStart w:id="22" w:name="earnings-scorecard"/>
    <w:p>
      <w:pPr>
        <w:pStyle w:val="Heading2"/>
      </w:pPr>
      <w:r>
        <w:t xml:space="preserve">Earnings scorecard</w:t>
      </w:r>
    </w:p>
    <w:bookmarkStart w:id="19" w:name="bullish-outcome"/>
    <w:p>
      <w:pPr>
        <w:pStyle w:val="Heading3"/>
      </w:pPr>
      <w:r>
        <w:t xml:space="preserve">Bullish outcome</w:t>
      </w:r>
    </w:p>
    <w:p>
      <w:pPr>
        <w:pStyle w:val="Compact"/>
        <w:numPr>
          <w:ilvl w:val="0"/>
          <w:numId w:val="1010"/>
        </w:numPr>
      </w:pPr>
      <w:r>
        <w:t xml:space="preserve">Fiscal 2026 guidance maintained with confidence or raised</w:t>
      </w:r>
    </w:p>
    <w:p>
      <w:pPr>
        <w:pStyle w:val="Compact"/>
        <w:numPr>
          <w:ilvl w:val="0"/>
          <w:numId w:val="1010"/>
        </w:numPr>
      </w:pPr>
      <w:r>
        <w:t xml:space="preserve">Q3 EPS around or above the approximate $1.27 guidance-implied level</w:t>
      </w:r>
    </w:p>
    <w:p>
      <w:pPr>
        <w:pStyle w:val="Compact"/>
        <w:numPr>
          <w:ilvl w:val="0"/>
          <w:numId w:val="1010"/>
        </w:numPr>
      </w:pPr>
      <w:r>
        <w:t xml:space="preserve">APT through-system contribution at or above the prior forecast</w:t>
      </w:r>
    </w:p>
    <w:p>
      <w:pPr>
        <w:pStyle w:val="Compact"/>
        <w:numPr>
          <w:ilvl w:val="0"/>
          <w:numId w:val="1010"/>
        </w:numPr>
      </w:pPr>
      <w:r>
        <w:t xml:space="preserve">Clear progress converting pending filings into approved rates</w:t>
      </w:r>
    </w:p>
    <w:p>
      <w:pPr>
        <w:pStyle w:val="Compact"/>
        <w:numPr>
          <w:ilvl w:val="0"/>
          <w:numId w:val="1010"/>
        </w:numPr>
      </w:pPr>
      <w:r>
        <w:t xml:space="preserve">Rule 7.7102 benefit tracking within the</w:t>
      </w:r>
      <w:r>
        <w:t xml:space="preserve"> </w:t>
      </w:r>
      <m:oMath>
        <m:r>
          <m:t>155</m:t>
        </m:r>
        <m:r>
          <m:rPr>
            <m:sty m:val="p"/>
          </m:rPr>
          <m:t>–</m:t>
        </m:r>
      </m:oMath>
      <w:r>
        <w:t xml:space="preserve">165 million range</w:t>
      </w:r>
    </w:p>
    <w:p>
      <w:pPr>
        <w:pStyle w:val="Compact"/>
        <w:numPr>
          <w:ilvl w:val="0"/>
          <w:numId w:val="1010"/>
        </w:numPr>
      </w:pPr>
      <w:r>
        <w:t xml:space="preserve">$4.2 billion capital plan reaffirmed</w:t>
      </w:r>
    </w:p>
    <w:p>
      <w:pPr>
        <w:pStyle w:val="Compact"/>
        <w:numPr>
          <w:ilvl w:val="0"/>
          <w:numId w:val="1010"/>
        </w:numPr>
      </w:pPr>
      <w:r>
        <w:t xml:space="preserve">Management reiterates 6%–8% growth from the fiscal 2026 EPS base even under more normalized APT spreads</w:t>
      </w:r>
    </w:p>
    <w:bookmarkEnd w:id="19"/>
    <w:bookmarkStart w:id="20" w:name="neutral-outcome"/>
    <w:p>
      <w:pPr>
        <w:pStyle w:val="Heading3"/>
      </w:pPr>
      <w:r>
        <w:t xml:space="preserve">Neutral outcome</w:t>
      </w:r>
    </w:p>
    <w:p>
      <w:pPr>
        <w:pStyle w:val="Compact"/>
        <w:numPr>
          <w:ilvl w:val="0"/>
          <w:numId w:val="1011"/>
        </w:numPr>
      </w:pPr>
      <w:r>
        <w:t xml:space="preserve">Guidance reaffirmed</w:t>
      </w:r>
    </w:p>
    <w:p>
      <w:pPr>
        <w:pStyle w:val="Compact"/>
        <w:numPr>
          <w:ilvl w:val="0"/>
          <w:numId w:val="1011"/>
        </w:numPr>
      </w:pPr>
      <w:r>
        <w:t xml:space="preserve">Quarterly EPS affected by timing but full-year assumptions unchanged</w:t>
      </w:r>
    </w:p>
    <w:p>
      <w:pPr>
        <w:pStyle w:val="Compact"/>
        <w:numPr>
          <w:ilvl w:val="0"/>
          <w:numId w:val="1011"/>
        </w:numPr>
      </w:pPr>
      <w:r>
        <w:t xml:space="preserve">APT spreads moderate as anticipated</w:t>
      </w:r>
    </w:p>
    <w:p>
      <w:pPr>
        <w:pStyle w:val="Compact"/>
        <w:numPr>
          <w:ilvl w:val="0"/>
          <w:numId w:val="1011"/>
        </w:numPr>
      </w:pPr>
      <w:r>
        <w:t xml:space="preserve">Some regulatory decisions shift between Q3 and Q4</w:t>
      </w:r>
    </w:p>
    <w:p>
      <w:pPr>
        <w:pStyle w:val="Compact"/>
        <w:numPr>
          <w:ilvl w:val="0"/>
          <w:numId w:val="1011"/>
        </w:numPr>
      </w:pPr>
      <w:r>
        <w:t xml:space="preserve">Capital spending and funding remain on plan</w:t>
      </w:r>
    </w:p>
    <w:p>
      <w:pPr>
        <w:pStyle w:val="FirstParagraph"/>
      </w:pPr>
      <w:r>
        <w:t xml:space="preserve">Given the recent share-price pullback, this could be enough to stabilize the stock.</w:t>
      </w:r>
    </w:p>
    <w:bookmarkEnd w:id="20"/>
    <w:bookmarkStart w:id="21" w:name="bearish-outcome"/>
    <w:p>
      <w:pPr>
        <w:pStyle w:val="Heading3"/>
      </w:pPr>
      <w:r>
        <w:t xml:space="preserve">Bearish outcome</w:t>
      </w:r>
    </w:p>
    <w:p>
      <w:pPr>
        <w:pStyle w:val="Compact"/>
        <w:numPr>
          <w:ilvl w:val="0"/>
          <w:numId w:val="1012"/>
        </w:numPr>
      </w:pPr>
      <w:r>
        <w:t xml:space="preserve">Guidance reduced or the midpoint becomes difficult to achieve</w:t>
      </w:r>
    </w:p>
    <w:p>
      <w:pPr>
        <w:pStyle w:val="Compact"/>
        <w:numPr>
          <w:ilvl w:val="0"/>
          <w:numId w:val="1012"/>
        </w:numPr>
      </w:pPr>
      <w:r>
        <w:t xml:space="preserve">Rule 7.7102 benefit falls short or produces another confusing reclassification</w:t>
      </w:r>
    </w:p>
    <w:p>
      <w:pPr>
        <w:pStyle w:val="Compact"/>
        <w:numPr>
          <w:ilvl w:val="0"/>
          <w:numId w:val="1012"/>
        </w:numPr>
      </w:pPr>
      <w:r>
        <w:t xml:space="preserve">APT earnings normalize more quickly than expected</w:t>
      </w:r>
    </w:p>
    <w:p>
      <w:pPr>
        <w:pStyle w:val="Compact"/>
        <w:numPr>
          <w:ilvl w:val="0"/>
          <w:numId w:val="1012"/>
        </w:numPr>
      </w:pPr>
      <w:r>
        <w:t xml:space="preserve">Key rate outcomes are delayed or materially below requested levels</w:t>
      </w:r>
    </w:p>
    <w:p>
      <w:pPr>
        <w:pStyle w:val="Compact"/>
        <w:numPr>
          <w:ilvl w:val="0"/>
          <w:numId w:val="1012"/>
        </w:numPr>
      </w:pPr>
      <w:r>
        <w:t xml:space="preserve">Capital spending is reduced because of execution constraints</w:t>
      </w:r>
    </w:p>
    <w:p>
      <w:pPr>
        <w:pStyle w:val="Compact"/>
        <w:numPr>
          <w:ilvl w:val="0"/>
          <w:numId w:val="1012"/>
        </w:numPr>
      </w:pPr>
      <w:r>
        <w:t xml:space="preserve">O&amp;M rises beyond guidance</w:t>
      </w:r>
    </w:p>
    <w:p>
      <w:pPr>
        <w:pStyle w:val="Compact"/>
        <w:numPr>
          <w:ilvl w:val="0"/>
          <w:numId w:val="1012"/>
        </w:numPr>
      </w:pPr>
      <w:r>
        <w:t xml:space="preserve">Management retreats from using</w:t>
      </w:r>
      <w:r>
        <w:t xml:space="preserve"> </w:t>
      </w:r>
      <m:oMath>
        <m:r>
          <m:t>8.40</m:t>
        </m:r>
        <m:r>
          <m:rPr>
            <m:sty m:val="p"/>
          </m:rPr>
          <m:t>–</m:t>
        </m:r>
      </m:oMath>
      <w:r>
        <w:t xml:space="preserve">8.50 as the fiscal 2027 growth base</w:t>
      </w:r>
    </w:p>
    <w:bookmarkEnd w:id="21"/>
    <w:bookmarkEnd w:id="22"/>
    <w:bookmarkStart w:id="23" w:name="questions-investors-should-want-answered"/>
    <w:p>
      <w:pPr>
        <w:pStyle w:val="Heading2"/>
      </w:pPr>
      <w:r>
        <w:t xml:space="preserve">Questions investors should want answered</w:t>
      </w:r>
    </w:p>
    <w:p>
      <w:pPr>
        <w:pStyle w:val="Compact"/>
        <w:numPr>
          <w:ilvl w:val="0"/>
          <w:numId w:val="1013"/>
        </w:numPr>
      </w:pPr>
      <w:r>
        <w:t xml:space="preserve">How much did APT through-system activity contribute in Q3, and what is assumed for Q4?</w:t>
      </w:r>
    </w:p>
    <w:p>
      <w:pPr>
        <w:pStyle w:val="Compact"/>
        <w:numPr>
          <w:ilvl w:val="0"/>
          <w:numId w:val="1013"/>
        </w:numPr>
      </w:pPr>
      <w:r>
        <w:t xml:space="preserve">How should APT spreads be normalized in a fiscal 2027 earnings model?</w:t>
      </w:r>
    </w:p>
    <w:p>
      <w:pPr>
        <w:pStyle w:val="Compact"/>
        <w:numPr>
          <w:ilvl w:val="0"/>
          <w:numId w:val="1013"/>
        </w:numPr>
      </w:pPr>
      <w:r>
        <w:t xml:space="preserve">How much annualized operating income was implemented during Q3?</w:t>
      </w:r>
    </w:p>
    <w:p>
      <w:pPr>
        <w:pStyle w:val="Compact"/>
        <w:numPr>
          <w:ilvl w:val="0"/>
          <w:numId w:val="1013"/>
        </w:numPr>
      </w:pPr>
      <w:r>
        <w:t xml:space="preserve">What was the final outcome and effective date of APT's approximately $112 million filing?</w:t>
      </w:r>
    </w:p>
    <w:p>
      <w:pPr>
        <w:pStyle w:val="Compact"/>
        <w:numPr>
          <w:ilvl w:val="0"/>
          <w:numId w:val="1013"/>
        </w:numPr>
      </w:pPr>
      <w:r>
        <w:t xml:space="preserve">Is the full-year Rule 7.7102 benefit still expected to be</w:t>
      </w:r>
      <w:r>
        <w:t xml:space="preserve"> </w:t>
      </w:r>
      <m:oMath>
        <m:r>
          <m:t>155</m:t>
        </m:r>
        <m:r>
          <m:rPr>
            <m:sty m:val="p"/>
          </m:rPr>
          <m:t>–</m:t>
        </m:r>
      </m:oMath>
      <w:r>
        <w:t xml:space="preserve">165 million?</w:t>
      </w:r>
    </w:p>
    <w:p>
      <w:pPr>
        <w:pStyle w:val="Compact"/>
        <w:numPr>
          <w:ilvl w:val="0"/>
          <w:numId w:val="1013"/>
        </w:numPr>
      </w:pPr>
      <w:r>
        <w:t xml:space="preserve">What is underlying O&amp;M growth after removing the Rule 7.7102 classification effect?</w:t>
      </w:r>
    </w:p>
    <w:p>
      <w:pPr>
        <w:pStyle w:val="Compact"/>
        <w:numPr>
          <w:ilvl w:val="0"/>
          <w:numId w:val="1013"/>
        </w:numPr>
      </w:pPr>
      <w:r>
        <w:t xml:space="preserve">Is</w:t>
      </w:r>
      <w:r>
        <w:t xml:space="preserve"> </w:t>
      </w:r>
      <m:oMath>
        <m:r>
          <m:t>8.40</m:t>
        </m:r>
        <m:r>
          <m:rPr>
            <m:sty m:val="p"/>
          </m:rPr>
          <m:t>–</m:t>
        </m:r>
      </m:oMath>
      <w:r>
        <w:t xml:space="preserve">8.50 still the appropriate base for 6%–8% EPS growth?</w:t>
      </w:r>
    </w:p>
    <w:p>
      <w:pPr>
        <w:pStyle w:val="Compact"/>
        <w:numPr>
          <w:ilvl w:val="0"/>
          <w:numId w:val="1013"/>
        </w:numPr>
      </w:pPr>
      <w:r>
        <w:t xml:space="preserve">How much of fiscal 2027's equity requirement is now covered?</w:t>
      </w:r>
    </w:p>
    <w:p>
      <w:pPr>
        <w:pStyle w:val="Compact"/>
        <w:numPr>
          <w:ilvl w:val="0"/>
          <w:numId w:val="1013"/>
        </w:numPr>
      </w:pPr>
      <w:r>
        <w:t xml:space="preserve">Is the company still on pace to invest $4.2 billion this year and approximately $26 billion through fiscal 2030?</w:t>
      </w:r>
    </w:p>
    <w:bookmarkEnd w:id="23"/>
    <w:bookmarkStart w:id="24" w:name="bottom-line"/>
    <w:p>
      <w:pPr>
        <w:pStyle w:val="Heading2"/>
      </w:pPr>
      <w:r>
        <w:t xml:space="preserve">Bottom line</w:t>
      </w:r>
    </w:p>
    <w:p>
      <w:pPr>
        <w:pStyle w:val="FirstParagraph"/>
      </w:pPr>
      <w:r>
        <w:t xml:space="preserve">Atmos appears positioned for another solid report. Regulated rate recovery, Texas customer growth and reduced regulatory lag provide a favorable core backdrop, while APT spreads add potential upside. The main analytical challenge is separating durable regulated growth from temporary pipeline economics and first-year Rule 7.7102 benefits.</w:t>
      </w:r>
    </w:p>
    <w:p>
      <w:pPr>
        <w:pStyle w:val="BodyText"/>
      </w:pPr>
      <w:r>
        <w:t xml:space="preserve">A simple EPS beat would be less important than confirmation that:</w:t>
      </w:r>
    </w:p>
    <w:p>
      <w:pPr>
        <w:pStyle w:val="Compact"/>
        <w:numPr>
          <w:ilvl w:val="0"/>
          <w:numId w:val="1014"/>
        </w:numPr>
      </w:pPr>
      <w:r>
        <w:t xml:space="preserve">the</w:t>
      </w:r>
      <w:r>
        <w:t xml:space="preserve"> </w:t>
      </w:r>
      <m:oMath>
        <m:r>
          <m:t>8.40</m:t>
        </m:r>
        <m:r>
          <m:rPr>
            <m:sty m:val="p"/>
          </m:rPr>
          <m:t>–</m:t>
        </m:r>
      </m:oMath>
      <w:r>
        <w:rPr>
          <w:b/>
          <w:bCs/>
        </w:rPr>
        <w:t xml:space="preserve">8.50</w:t>
      </w:r>
      <w:r>
        <w:t xml:space="preserve"> </w:t>
      </w:r>
      <w:r>
        <w:t xml:space="preserve">fiscal-year range is secure,</w:t>
      </w:r>
    </w:p>
    <w:p>
      <w:pPr>
        <w:pStyle w:val="Compact"/>
        <w:numPr>
          <w:ilvl w:val="0"/>
          <w:numId w:val="1014"/>
        </w:numPr>
      </w:pPr>
      <w:r>
        <w:t xml:space="preserve">pending rate actions are converting into revenue,</w:t>
      </w:r>
    </w:p>
    <w:p>
      <w:pPr>
        <w:pStyle w:val="Compact"/>
        <w:numPr>
          <w:ilvl w:val="0"/>
          <w:numId w:val="1014"/>
        </w:numPr>
      </w:pPr>
      <w:r>
        <w:t xml:space="preserve">the</w:t>
      </w:r>
      <w:r>
        <w:t xml:space="preserve"> </w:t>
      </w:r>
      <w:r>
        <w:rPr>
          <w:b/>
          <w:bCs/>
        </w:rPr>
        <w:t xml:space="preserve">$4.2 billion</w:t>
      </w:r>
      <w:r>
        <w:t xml:space="preserve"> </w:t>
      </w:r>
      <w:r>
        <w:t xml:space="preserve">capital program remains on track, and</w:t>
      </w:r>
    </w:p>
    <w:p>
      <w:pPr>
        <w:pStyle w:val="Compact"/>
        <w:numPr>
          <w:ilvl w:val="0"/>
          <w:numId w:val="1014"/>
        </w:numPr>
      </w:pPr>
      <w:r>
        <w:t xml:space="preserve">fiscal 2026 remains a credible base for</w:t>
      </w:r>
      <w:r>
        <w:t xml:space="preserve"> </w:t>
      </w:r>
      <w:r>
        <w:rPr>
          <w:b/>
          <w:bCs/>
        </w:rPr>
        <w:t xml:space="preserve">6%–8% EPS growth</w:t>
      </w:r>
      <w:r>
        <w:t xml:space="preserve">.</w:t>
      </w:r>
    </w:p>
    <w:p>
      <w:pPr>
        <w:pStyle w:val="FirstParagraph"/>
      </w:pPr>
      <w:r>
        <w:t xml:space="preserve">At roughly 20 times guidance, ATO does not need a spectacular quarter, but it does need a clean one.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2026-08-05T01:27:49Z</dcterms:created>
  <dcterms:modified xsi:type="dcterms:W3CDTF">2026-08-05T01:27:49Z</dcterms:modified>
</cp:coreProperties>
</file>

<file path=docProps/custom.xml><?xml version="1.0" encoding="utf-8"?>
<Properties xmlns="http://schemas.openxmlformats.org/officeDocument/2006/custom-properties" xmlns:vt="http://schemas.openxmlformats.org/officeDocument/2006/docPropsVTypes"/>
</file>