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to-earnings-predictions--2026-08-05"/>
    <w:p>
      <w:pPr>
        <w:pStyle w:val="Heading1"/>
      </w:pPr>
      <w:r>
        <w:t xml:space="preserve">ATO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~$292m vs. cons $286m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~$925m vs. cons $902m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~$8.45 midpoint vs. cons $8.45 midpoint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capital-expenditure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~$4.20bn vs. cons $4.20bn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Texas Rule 7.7102 pretax benefit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~$160m vs. cons $160m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APT through-system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~$0.10 EPS vs. cons $0.10 EPS (2H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A ~$1.30 EPS result versus</w:t>
            </w:r>
            <w:r>
              <w:t xml:space="preserve"> </w:t>
            </w:r>
            <m:oMath>
              <m:r>
                <m:t>1.28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c</m:t>
              </m:r>
              <m:r>
                <m:t>t</m:t>
              </m:r>
              <m:r>
                <m:t>r</m:t>
              </m:r>
              <m:r>
                <m:t>e</m:t>
              </m:r>
              <m:r>
                <m:t>g</m:t>
              </m:r>
              <m:r>
                <m:t>u</m:t>
              </m:r>
              <m:r>
                <m:t>l</m:t>
              </m:r>
              <m:r>
                <m:t>a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/</m:t>
              </m:r>
              <m:r>
                <m:t>A</m:t>
              </m:r>
              <m:r>
                <m:t>P</m:t>
              </m:r>
              <m:r>
                <m:t>T</m:t>
              </m:r>
              <m:r>
                <m:t>c</m:t>
              </m:r>
              <m:r>
                <m:t>o</m:t>
              </m:r>
              <m:r>
                <m:t>m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r</m:t>
              </m:r>
              <m:r>
                <m:t>y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8.45 FY26 midpoint guidance versus $8.45 consensus leaves FY27 out-period EPS math broadly intact rather than driving material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2026-08-05T01:26:20Z</dcterms:created>
  <dcterms:modified xsi:type="dcterms:W3CDTF">2026-08-05T01:26:20Z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