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7fee6c958369bf9cbcd9972aabe68a336d33cfd"/>
    <w:p>
      <w:pPr>
        <w:pStyle w:val="Heading1"/>
      </w:pPr>
      <w:r>
        <w:t xml:space="preserve">Atmos Energy (NYSE: ATO) — Fiscal 3Q26 Earnings Preview</w:t>
      </w:r>
    </w:p>
    <w:p>
      <w:pPr>
        <w:pStyle w:val="BlockText"/>
      </w:pPr>
      <w:r>
        <w:rPr>
          <w:b/>
          <w:bCs/>
        </w:rPr>
        <w:t xml:space="preserve">Date clarification:</w:t>
      </w:r>
      <w:r>
        <w:t xml:space="preserve"> </w:t>
      </w:r>
      <w:r>
        <w:t xml:space="preserve">The earnings event is listed for</w:t>
      </w:r>
      <w:r>
        <w:t xml:space="preserve"> </w:t>
      </w:r>
      <w:r>
        <w:rPr>
          <w:b/>
          <w:bCs/>
        </w:rPr>
        <w:t xml:space="preserve">Wednesday, August 5, 2026</w:t>
      </w:r>
      <w:r>
        <w:t xml:space="preserve">, which is</w:t>
      </w:r>
      <w:r>
        <w:t xml:space="preserve"> </w:t>
      </w:r>
      <w:r>
        <w:rPr>
          <w:b/>
          <w:bCs/>
        </w:rPr>
        <w:t xml:space="preserve">today</w:t>
      </w:r>
      <w:r>
        <w:t xml:space="preserve">. This preview uses information available through the</w:t>
      </w:r>
      <w:r>
        <w:t xml:space="preserve"> </w:t>
      </w:r>
      <w:r>
        <w:rPr>
          <w:b/>
          <w:bCs/>
        </w:rPr>
        <w:t xml:space="preserve">August 4, 2026</w:t>
      </w:r>
      <w:r>
        <w:t xml:space="preserve"> </w:t>
      </w:r>
      <w:r>
        <w:t xml:space="preserve">market close; no 3Q26 earnings release was available in the research sources at the time of writing.</w:t>
      </w:r>
    </w:p>
    <w:bookmarkStart w:id="9" w:name="Xe939438ef063be63c89d19c746dd3497d939c13"/>
    <w:p>
      <w:pPr>
        <w:pStyle w:val="Heading2"/>
      </w:pPr>
      <w:r>
        <w:t xml:space="preserve">Investment view: the report is more about validating the upgraded earnings base than about the quarter itself</w:t>
      </w:r>
    </w:p>
    <w:p>
      <w:pPr>
        <w:pStyle w:val="FirstParagraph"/>
      </w:pPr>
      <w:r>
        <w:t xml:space="preserve">Atmos enters fiscal 3Q26 after raising full-year EPS guidance in May to</w:t>
      </w:r>
      <w:r>
        <w:t xml:space="preserve"> </w:t>
      </w:r>
      <m:oMath>
        <m:r>
          <m:t>8.40</m:t>
        </m:r>
        <m:r>
          <m:rPr>
            <m:sty m:val="p"/>
          </m:rPr>
          <m:t>–</m:t>
        </m:r>
      </m:oMath>
      <w:r>
        <w:rPr>
          <w:b/>
          <w:bCs/>
        </w:rPr>
        <w:t xml:space="preserve">8.50</w:t>
      </w:r>
      <w:r>
        <w:t xml:space="preserve">, from</w:t>
      </w:r>
      <w:r>
        <w:t xml:space="preserve"> </w:t>
      </w:r>
      <m:oMath>
        <m:r>
          <m:t>8.15</m:t>
        </m:r>
        <m:r>
          <m:rPr>
            <m:sty m:val="p"/>
          </m:rPr>
          <m:t>–</m:t>
        </m:r>
      </m:oMath>
      <w:r>
        <w:rPr>
          <w:b/>
          <w:bCs/>
        </w:rPr>
        <w:t xml:space="preserve">8.35</w:t>
      </w:r>
      <w:r>
        <w:t xml:space="preserve">. The upgrade rested on two factors: (1) better visibility into the earnings benefit of Texas Rule 7.7102, which reduces regulatory lag on certain Texas capital investment, and (2) stronger-than-initially-assumed contribution from Atmos Pipeline–Texas (APT) through-system activity.</w:t>
      </w:r>
    </w:p>
    <w:p>
      <w:pPr>
        <w:pStyle w:val="BodyText"/>
      </w:pPr>
      <w:r>
        <w:t xml:space="preserve">The central question for investors is whether those drivers remain intact—and whether management continues to view the new guidance range as the appropriate foundation for its stated</w:t>
      </w:r>
      <w:r>
        <w:t xml:space="preserve"> </w:t>
      </w:r>
      <w:r>
        <w:rPr>
          <w:b/>
          <w:bCs/>
        </w:rPr>
        <w:t xml:space="preserve">6%–8% long-term EPS growth</w:t>
      </w:r>
      <w:r>
        <w:t xml:space="preserve"> </w:t>
      </w:r>
      <w:r>
        <w:t xml:space="preserve">framework.</w:t>
      </w:r>
    </w:p>
    <w:bookmarkEnd w:id="9"/>
    <w:bookmarkStart w:id="10" w:name="key-setup"/>
    <w:p>
      <w:pPr>
        <w:pStyle w:val="Heading2"/>
      </w:pPr>
      <w:r>
        <w:t xml:space="preserve">Key setup</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Latest disclosed / calculated</w:t>
            </w:r>
          </w:p>
        </w:tc>
      </w:tr>
      <w:tr>
        <w:tc>
          <w:tcPr/>
          <w:p>
            <w:pPr>
              <w:pStyle w:val="Compact"/>
            </w:pPr>
            <w:r>
              <w:t xml:space="preserve">FY26 EPS guidance</w:t>
            </w:r>
          </w:p>
        </w:tc>
        <w:tc>
          <w:tcPr/>
          <w:p>
            <w:pPr>
              <w:pStyle w:val="Compact"/>
              <w:jc w:val="right"/>
            </w:pPr>
            <m:oMath>
              <m:r>
                <m:t>8.40</m:t>
              </m:r>
              <m:r>
                <m:rPr>
                  <m:sty m:val="p"/>
                </m:rPr>
                <m:t>–</m:t>
              </m:r>
            </m:oMath>
            <w:r>
              <w:rPr>
                <w:b/>
                <w:bCs/>
              </w:rPr>
              <w:t xml:space="preserve">8.50</w:t>
            </w:r>
          </w:p>
        </w:tc>
      </w:tr>
      <w:tr>
        <w:tc>
          <w:tcPr/>
          <w:p>
            <w:pPr>
              <w:pStyle w:val="Compact"/>
            </w:pPr>
            <w:r>
              <w:t xml:space="preserve">1H26 diluted EPS</w:t>
            </w:r>
          </w:p>
        </w:tc>
        <w:tc>
          <w:tcPr/>
          <w:p>
            <w:pPr>
              <w:pStyle w:val="Compact"/>
              <w:jc w:val="right"/>
            </w:pPr>
            <w:r>
              <w:rPr>
                <w:b/>
                <w:bCs/>
              </w:rPr>
              <w:t xml:space="preserve">$5.92</w:t>
            </w:r>
          </w:p>
        </w:tc>
      </w:tr>
      <w:tr>
        <w:tc>
          <w:tcPr/>
          <w:p>
            <w:pPr>
              <w:pStyle w:val="Compact"/>
            </w:pPr>
            <w:r>
              <w:t xml:space="preserve">Implied 2H26 EPS</w:t>
            </w:r>
          </w:p>
        </w:tc>
        <w:tc>
          <w:tcPr/>
          <w:p>
            <w:pPr>
              <w:pStyle w:val="Compact"/>
              <w:jc w:val="right"/>
            </w:pPr>
            <m:oMath>
              <m:r>
                <m:t>2.48</m:t>
              </m:r>
              <m:r>
                <m:rPr>
                  <m:sty m:val="p"/>
                </m:rPr>
                <m:t>–</m:t>
              </m:r>
            </m:oMath>
            <w:r>
              <w:rPr>
                <w:b/>
                <w:bCs/>
              </w:rPr>
              <w:t xml:space="preserve">2.58</w:t>
            </w:r>
          </w:p>
        </w:tc>
      </w:tr>
      <w:tr>
        <w:tc>
          <w:tcPr/>
          <w:p>
            <w:pPr>
              <w:pStyle w:val="Compact"/>
            </w:pPr>
            <w:r>
              <w:t xml:space="preserve">Rough implied quarterly EPS for 3Q and 4Q</w:t>
            </w:r>
          </w:p>
        </w:tc>
        <w:tc>
          <w:tcPr/>
          <w:p>
            <w:pPr>
              <w:pStyle w:val="Compact"/>
              <w:jc w:val="right"/>
            </w:pPr>
            <m:oMath>
              <m:r>
                <m:t>1.24</m:t>
              </m:r>
              <m:r>
                <m:rPr>
                  <m:sty m:val="p"/>
                </m:rPr>
                <m:t>–</m:t>
              </m:r>
            </m:oMath>
            <w:r>
              <w:rPr>
                <w:b/>
                <w:bCs/>
              </w:rPr>
              <w:t xml:space="preserve">1.29 each</w:t>
            </w:r>
          </w:p>
        </w:tc>
      </w:tr>
      <w:tr>
        <w:tc>
          <w:tcPr/>
          <w:p>
            <w:pPr>
              <w:pStyle w:val="Compact"/>
            </w:pPr>
            <w:r>
              <w:t xml:space="preserve">FY26 capex plan</w:t>
            </w:r>
          </w:p>
        </w:tc>
        <w:tc>
          <w:tcPr/>
          <w:p>
            <w:pPr>
              <w:pStyle w:val="Compact"/>
              <w:jc w:val="right"/>
            </w:pPr>
            <w:r>
              <w:rPr>
                <w:b/>
                <w:bCs/>
              </w:rPr>
              <w:t xml:space="preserve">~$4.2bn</w:t>
            </w:r>
          </w:p>
        </w:tc>
      </w:tr>
      <w:tr>
        <w:tc>
          <w:tcPr/>
          <w:p>
            <w:pPr>
              <w:pStyle w:val="Compact"/>
            </w:pPr>
            <w:r>
              <w:t xml:space="preserve">1H26 capex deployed</w:t>
            </w:r>
          </w:p>
        </w:tc>
        <w:tc>
          <w:tcPr/>
          <w:p>
            <w:pPr>
              <w:pStyle w:val="Compact"/>
              <w:jc w:val="right"/>
            </w:pPr>
            <w:r>
              <w:rPr>
                <w:b/>
                <w:bCs/>
              </w:rPr>
              <w:t xml:space="preserve">$2.04bn</w:t>
            </w:r>
          </w:p>
        </w:tc>
      </w:tr>
      <w:tr>
        <w:tc>
          <w:tcPr/>
          <w:p>
            <w:pPr>
              <w:pStyle w:val="Compact"/>
            </w:pPr>
            <w:r>
              <w:t xml:space="preserve">1H26 operating income growth</w:t>
            </w:r>
          </w:p>
        </w:tc>
        <w:tc>
          <w:tcPr/>
          <w:p>
            <w:pPr>
              <w:pStyle w:val="Compact"/>
              <w:jc w:val="right"/>
            </w:pPr>
            <w:r>
              <w:rPr>
                <w:b/>
                <w:bCs/>
              </w:rPr>
              <w:t xml:space="preserve">+17.6% YoY</w:t>
            </w:r>
          </w:p>
        </w:tc>
      </w:tr>
      <w:tr>
        <w:tc>
          <w:tcPr/>
          <w:p>
            <w:pPr>
              <w:pStyle w:val="Compact"/>
            </w:pPr>
            <w:r>
              <w:t xml:space="preserve">1H26 net income growth</w:t>
            </w:r>
          </w:p>
        </w:tc>
        <w:tc>
          <w:tcPr/>
          <w:p>
            <w:pPr>
              <w:pStyle w:val="Compact"/>
              <w:jc w:val="right"/>
            </w:pPr>
            <w:r>
              <w:rPr>
                <w:b/>
                <w:bCs/>
              </w:rPr>
              <w:t xml:space="preserve">+17.6% YoY</w:t>
            </w:r>
          </w:p>
        </w:tc>
      </w:tr>
      <w:tr>
        <w:tc>
          <w:tcPr/>
          <w:p>
            <w:pPr>
              <w:pStyle w:val="Compact"/>
            </w:pPr>
            <w:r>
              <w:t xml:space="preserve">Equity capitalization at March 31</w:t>
            </w:r>
          </w:p>
        </w:tc>
        <w:tc>
          <w:tcPr/>
          <w:p>
            <w:pPr>
              <w:pStyle w:val="Compact"/>
              <w:jc w:val="right"/>
            </w:pPr>
            <w:r>
              <w:rPr>
                <w:b/>
                <w:bCs/>
              </w:rPr>
              <w:t xml:space="preserve">60.9%</w:t>
            </w:r>
          </w:p>
        </w:tc>
      </w:tr>
      <w:tr>
        <w:tc>
          <w:tcPr/>
          <w:p>
            <w:pPr>
              <w:pStyle w:val="Compact"/>
            </w:pPr>
            <w:r>
              <w:t xml:space="preserve">Liquidity at March 31</w:t>
            </w:r>
          </w:p>
        </w:tc>
        <w:tc>
          <w:tcPr/>
          <w:p>
            <w:pPr>
              <w:pStyle w:val="Compact"/>
              <w:jc w:val="right"/>
            </w:pPr>
            <w:r>
              <w:rPr>
                <w:b/>
                <w:bCs/>
              </w:rPr>
              <w:t xml:space="preserve">~$4.1bn</w:t>
            </w:r>
          </w:p>
        </w:tc>
      </w:tr>
      <w:tr>
        <w:tc>
          <w:tcPr/>
          <w:p>
            <w:pPr>
              <w:pStyle w:val="Compact"/>
            </w:pPr>
            <w:r>
              <w:t xml:space="preserve">August 4 closing share price</w:t>
            </w:r>
          </w:p>
        </w:tc>
        <w:tc>
          <w:tcPr/>
          <w:p>
            <w:pPr>
              <w:pStyle w:val="Compact"/>
              <w:jc w:val="right"/>
            </w:pPr>
            <w:r>
              <w:rPr>
                <w:b/>
                <w:bCs/>
              </w:rPr>
              <w:t xml:space="preserve">$172.68</w:t>
            </w:r>
          </w:p>
        </w:tc>
      </w:tr>
    </w:tbl>
    <w:p>
      <w:pPr>
        <w:pStyle w:val="BodyText"/>
      </w:pPr>
      <w:r>
        <w:t xml:space="preserve">Management said in May that the remaining fiscal-year EPS contribution should be recognized</w:t>
      </w:r>
      <w:r>
        <w:t xml:space="preserve"> </w:t>
      </w:r>
      <w:r>
        <w:rPr>
          <w:b/>
          <w:bCs/>
        </w:rPr>
        <w:t xml:space="preserve">“somewhat evenly” across the back half</w:t>
      </w:r>
      <w:r>
        <w:t xml:space="preserve">. That makes a roughly $1.25 3Q EPS outcome directionally consistent with the maintained guidance range, although it should not be considered a company-provided quarterly target or a sell-side consensus estimate.</w:t>
      </w:r>
    </w:p>
    <w:p>
      <w:r>
        <w:pict>
          <v:rect style="width:0;height:1.5pt" o:hralign="center" o:hrstd="t" o:hr="t"/>
        </w:pict>
      </w:r>
    </w:p>
    <w:bookmarkEnd w:id="10"/>
    <w:bookmarkStart w:id="15" w:name="what-matters-most-in-the-report"/>
    <w:p>
      <w:pPr>
        <w:pStyle w:val="Heading2"/>
      </w:pPr>
      <w:r>
        <w:t xml:space="preserve">What matters most in the report</w:t>
      </w:r>
    </w:p>
    <w:bookmarkStart w:id="11" w:name="X51479087774939e1c7fa35272d75f0655fb8105"/>
    <w:p>
      <w:pPr>
        <w:pStyle w:val="Heading3"/>
      </w:pPr>
      <w:r>
        <w:t xml:space="preserve">1. Full-year guidance: hold versus another raise</w:t>
      </w:r>
    </w:p>
    <w:p>
      <w:pPr>
        <w:pStyle w:val="FirstParagraph"/>
      </w:pPr>
      <w:r>
        <w:t xml:space="preserve">A maintained</w:t>
      </w:r>
      <w:r>
        <w:t xml:space="preserve"> </w:t>
      </w:r>
      <m:oMath>
        <m:r>
          <m:t>8.40</m:t>
        </m:r>
        <m:r>
          <m:rPr>
            <m:sty m:val="p"/>
          </m:rPr>
          <m:t>–</m:t>
        </m:r>
      </m:oMath>
      <w:r>
        <w:rPr>
          <w:b/>
          <w:bCs/>
        </w:rPr>
        <w:t xml:space="preserve">8.50</w:t>
      </w:r>
      <w:r>
        <w:t xml:space="preserve"> </w:t>
      </w:r>
      <w:r>
        <w:t xml:space="preserve">range would be constructive given that 1H results already exceeded the prior-year period materially and management had characterized the revised range as a reasonable base for FY27 growth.</w:t>
      </w:r>
    </w:p>
    <w:p>
      <w:pPr>
        <w:pStyle w:val="BodyText"/>
      </w:pPr>
      <w:r>
        <w:t xml:space="preserve">The potential upside case is a further raise, most likely if:</w:t>
      </w:r>
    </w:p>
    <w:p>
      <w:pPr>
        <w:pStyle w:val="Compact"/>
        <w:numPr>
          <w:ilvl w:val="0"/>
          <w:numId w:val="1001"/>
        </w:numPr>
      </w:pPr>
      <w:r>
        <w:t xml:space="preserve">APT’s through-system margin remains stronger than the assumptions embedded in May guidance;</w:t>
      </w:r>
    </w:p>
    <w:p>
      <w:pPr>
        <w:pStyle w:val="Compact"/>
        <w:numPr>
          <w:ilvl w:val="0"/>
          <w:numId w:val="1001"/>
        </w:numPr>
      </w:pPr>
      <w:r>
        <w:t xml:space="preserve">Texas regulatory-lag benefits are tracking ahead of plan; or</w:t>
      </w:r>
    </w:p>
    <w:p>
      <w:pPr>
        <w:pStyle w:val="Compact"/>
        <w:numPr>
          <w:ilvl w:val="0"/>
          <w:numId w:val="1001"/>
        </w:numPr>
      </w:pPr>
      <w:r>
        <w:t xml:space="preserve">rate implementations arrive faster than expected.</w:t>
      </w:r>
    </w:p>
    <w:p>
      <w:pPr>
        <w:pStyle w:val="FirstParagraph"/>
      </w:pPr>
      <w:r>
        <w:t xml:space="preserve">The more meaningful downside signal would be a narrowed range without a raise, especially if management cites weakening commodity spreads, delayed rate outcomes, cost inflation, or financing pressure.</w:t>
      </w:r>
    </w:p>
    <w:bookmarkEnd w:id="11"/>
    <w:bookmarkStart w:id="12" w:name="X3ebca2291d99a892d790fc1ab7a93ee9a6d06f1"/>
    <w:p>
      <w:pPr>
        <w:pStyle w:val="Heading3"/>
      </w:pPr>
      <w:r>
        <w:t xml:space="preserve">2. APT through-system economics and Permian/Waha spreads</w:t>
      </w:r>
    </w:p>
    <w:p>
      <w:pPr>
        <w:pStyle w:val="FirstParagraph"/>
      </w:pPr>
      <w:r>
        <w:t xml:space="preserve">This is likely the most important non-regulated variable in the quarter. In 1H26, APT through-system revenues, net of Rider REV sharing, added approximately</w:t>
      </w:r>
      <w:r>
        <w:t xml:space="preserve"> </w:t>
      </w:r>
      <w:r>
        <w:rPr>
          <w:b/>
          <w:bCs/>
        </w:rPr>
        <w:t xml:space="preserve">$16 million / $0.08 per share year over year</w:t>
      </w:r>
      <w:r>
        <w:t xml:space="preserve">, with the benefit tied primarily to stronger natural-gas price spreads.</w:t>
      </w:r>
    </w:p>
    <w:p>
      <w:pPr>
        <w:pStyle w:val="BodyText"/>
      </w:pPr>
      <w:r>
        <w:t xml:space="preserve">In May, management expected this business to contribute a further</w:t>
      </w:r>
      <w:r>
        <w:t xml:space="preserve"> </w:t>
      </w:r>
      <m:oMath>
        <m:r>
          <m:t>0.08</m:t>
        </m:r>
        <m:r>
          <m:rPr>
            <m:sty m:val="p"/>
          </m:rPr>
          <m:t>–</m:t>
        </m:r>
      </m:oMath>
      <w:r>
        <w:rPr>
          <w:b/>
          <w:bCs/>
        </w:rPr>
        <w:t xml:space="preserve">0.12</w:t>
      </w:r>
      <w:r>
        <w:t xml:space="preserve"> </w:t>
      </w:r>
      <w:r>
        <w:t xml:space="preserve">during the second half of FY26. That outlook was explicitly tied to expectations that Permian gas-price dynamics would remain challenging.</w:t>
      </w:r>
    </w:p>
    <w:p>
      <w:pPr>
        <w:pStyle w:val="BodyText"/>
      </w:pPr>
      <w:r>
        <w:rPr>
          <w:b/>
          <w:bCs/>
        </w:rPr>
        <w:t xml:space="preserve">What investors should ask:</w:t>
      </w:r>
    </w:p>
    <w:p>
      <w:pPr>
        <w:pStyle w:val="Compact"/>
        <w:numPr>
          <w:ilvl w:val="0"/>
          <w:numId w:val="1002"/>
        </w:numPr>
      </w:pPr>
      <w:r>
        <w:t xml:space="preserve">Did APT through-system activity perform in line with the</w:t>
      </w:r>
      <w:r>
        <w:t xml:space="preserve"> </w:t>
      </w:r>
      <m:oMath>
        <m:r>
          <m:t>0.08</m:t>
        </m:r>
        <m:r>
          <m:rPr>
            <m:sty m:val="p"/>
          </m:rPr>
          <m:t>–</m:t>
        </m:r>
      </m:oMath>
      <w:r>
        <w:t xml:space="preserve">0.12 second-half expectation?</w:t>
      </w:r>
    </w:p>
    <w:p>
      <w:pPr>
        <w:pStyle w:val="Compact"/>
        <w:numPr>
          <w:ilvl w:val="0"/>
          <w:numId w:val="1002"/>
        </w:numPr>
      </w:pPr>
      <w:r>
        <w:t xml:space="preserve">How have Waha and related transport spreads evolved through July?</w:t>
      </w:r>
    </w:p>
    <w:p>
      <w:pPr>
        <w:pStyle w:val="Compact"/>
        <w:numPr>
          <w:ilvl w:val="0"/>
          <w:numId w:val="1002"/>
        </w:numPr>
      </w:pPr>
      <w:r>
        <w:t xml:space="preserve">Is the company still embedding only benchmark-like APT economics in its longer-term planning assumptions, or has the stronger environment become more durable?</w:t>
      </w:r>
    </w:p>
    <w:p>
      <w:pPr>
        <w:pStyle w:val="Compact"/>
        <w:numPr>
          <w:ilvl w:val="0"/>
          <w:numId w:val="1002"/>
        </w:numPr>
      </w:pPr>
      <w:r>
        <w:t xml:space="preserve">What has been the impact of Rider REV customer sharing on the net retained benefit?</w:t>
      </w:r>
    </w:p>
    <w:p>
      <w:pPr>
        <w:pStyle w:val="FirstParagraph"/>
      </w:pPr>
      <w:r>
        <w:t xml:space="preserve">The upside is clear, but this source of earnings is less predictable than Atmos’s core regulated rate-base growth engine. A strong 3Q result driven by spreads is helpful; a durable valuation re-rating would require investors to believe the contribution is repeatable rather than cyclical.</w:t>
      </w:r>
    </w:p>
    <w:bookmarkEnd w:id="12"/>
    <w:bookmarkStart w:id="13" w:name="X345e524632b07df28baed5577d15d1e81376358"/>
    <w:p>
      <w:pPr>
        <w:pStyle w:val="Heading3"/>
      </w:pPr>
      <w:r>
        <w:t xml:space="preserve">3. Texas Rule 7.7102: realization, presentation, and durability</w:t>
      </w:r>
    </w:p>
    <w:p>
      <w:pPr>
        <w:pStyle w:val="FirstParagraph"/>
      </w:pPr>
      <w:r>
        <w:t xml:space="preserve">Texas Rule 7.7102 is the major structural catalyst. It permits deferral of certain post-in-service carrying costs, depreciation, and ad valorem taxes associated with qualifying capital investment that is not already covered by another mechanism.</w:t>
      </w:r>
    </w:p>
    <w:p>
      <w:pPr>
        <w:pStyle w:val="BodyText"/>
      </w:pPr>
      <w:r>
        <w:t xml:space="preserve">Management’s May guidance incorporated a</w:t>
      </w:r>
      <w:r>
        <w:t xml:space="preserve"> </w:t>
      </w:r>
      <m:oMath>
        <m:r>
          <m:t>155</m:t>
        </m:r>
        <m:r>
          <m:t>m</m:t>
        </m:r>
        <m:r>
          <m:t>i</m:t>
        </m:r>
        <m:r>
          <m:t>l</m:t>
        </m:r>
        <m:r>
          <m:t>l</m:t>
        </m:r>
        <m:r>
          <m:t>i</m:t>
        </m:r>
        <m:r>
          <m:t>o</m:t>
        </m:r>
        <m:r>
          <m:t>n</m:t>
        </m:r>
        <m:r>
          <m:rPr>
            <m:sty m:val="p"/>
          </m:rPr>
          <m:t>–</m:t>
        </m:r>
      </m:oMath>
      <w:r>
        <w:rPr>
          <w:b/>
          <w:bCs/>
        </w:rPr>
        <w:t xml:space="preserve">165 million pretax</w:t>
      </w:r>
      <w:r>
        <w:t xml:space="preserve"> </w:t>
      </w:r>
      <w:r>
        <w:t xml:space="preserve">FY26 benefit from Rule 7.7102. About</w:t>
      </w:r>
      <w:r>
        <w:t xml:space="preserve"> </w:t>
      </w:r>
      <m:oMath>
        <m:r>
          <m:t>94</m:t>
        </m:r>
        <m:r>
          <m:t>m</m:t>
        </m:r>
        <m:r>
          <m:t>i</m:t>
        </m:r>
        <m:r>
          <m:t>l</m:t>
        </m:r>
        <m:r>
          <m:t>l</m:t>
        </m:r>
        <m:r>
          <m:t>i</m:t>
        </m:r>
        <m:r>
          <m:t>o</m:t>
        </m:r>
        <m:r>
          <m:t>n</m:t>
        </m:r>
        <m:r>
          <m:rPr>
            <m:sty m:val="p"/>
          </m:rPr>
          <m:t>*</m:t>
        </m:r>
        <m:r>
          <m:rPr>
            <m:sty m:val="p"/>
          </m:rPr>
          <m:t>*</m:t>
        </m:r>
        <m:r>
          <m:t>h</m:t>
        </m:r>
        <m:r>
          <m:t>a</m:t>
        </m:r>
        <m:r>
          <m:t>d</m:t>
        </m:r>
        <m:r>
          <m:t>a</m:t>
        </m:r>
        <m:r>
          <m:t>l</m:t>
        </m:r>
        <m:r>
          <m:t>r</m:t>
        </m:r>
        <m:r>
          <m:t>e</m:t>
        </m:r>
        <m:r>
          <m:t>a</m:t>
        </m:r>
        <m:r>
          <m:t>d</m:t>
        </m:r>
        <m:r>
          <m:t>y</m:t>
        </m:r>
        <m:r>
          <m:t>b</m:t>
        </m:r>
        <m:r>
          <m:t>e</m:t>
        </m:r>
        <m:r>
          <m:t>n</m:t>
        </m:r>
        <m:r>
          <m:t>e</m:t>
        </m:r>
        <m:r>
          <m:t>f</m:t>
        </m:r>
        <m:r>
          <m:t>i</m:t>
        </m:r>
        <m:r>
          <m:t>t</m:t>
        </m:r>
        <m:r>
          <m:t>e</m:t>
        </m:r>
        <m:r>
          <m:t>d</m:t>
        </m:r>
        <m:r>
          <m:t>1</m:t>
        </m:r>
        <m:r>
          <m:t>H</m:t>
        </m:r>
        <m:r>
          <m:t>26</m:t>
        </m:r>
        <m:r>
          <m:t>r</m:t>
        </m:r>
        <m:r>
          <m:t>e</m:t>
        </m:r>
        <m:r>
          <m:t>s</m:t>
        </m:r>
        <m:r>
          <m:t>u</m:t>
        </m:r>
        <m:r>
          <m:t>l</m:t>
        </m:r>
        <m:r>
          <m:t>t</m:t>
        </m:r>
        <m:r>
          <m:t>s</m:t>
        </m:r>
        <m:r>
          <m:rPr>
            <m:sty m:val="p"/>
          </m:rPr>
          <m:t>,</m:t>
        </m:r>
        <m:r>
          <m:t>i</m:t>
        </m:r>
        <m:r>
          <m:t>m</m:t>
        </m:r>
        <m:r>
          <m:t>p</m:t>
        </m:r>
        <m:r>
          <m:t>l</m:t>
        </m:r>
        <m:r>
          <m:t>y</m:t>
        </m:r>
        <m:r>
          <m:t>i</m:t>
        </m:r>
        <m:r>
          <m:t>n</m:t>
        </m:r>
        <m:r>
          <m:t>g</m:t>
        </m:r>
        <m:r>
          <m:t>a</m:t>
        </m:r>
        <m:r>
          <m:t>p</m:t>
        </m:r>
        <m:r>
          <m:t>p</m:t>
        </m:r>
        <m:r>
          <m:t>r</m:t>
        </m:r>
        <m:r>
          <m:t>o</m:t>
        </m:r>
        <m:r>
          <m:t>x</m:t>
        </m:r>
        <m:r>
          <m:t>i</m:t>
        </m:r>
        <m:r>
          <m:t>m</m:t>
        </m:r>
        <m:r>
          <m:t>a</m:t>
        </m:r>
        <m:r>
          <m:t>t</m:t>
        </m:r>
        <m:r>
          <m:t>e</m:t>
        </m:r>
        <m:r>
          <m:t>l</m:t>
        </m:r>
        <m:r>
          <m:t>y</m:t>
        </m:r>
        <m:r>
          <m:rPr>
            <m:sty m:val="p"/>
          </m:rPr>
          <m:t>*</m:t>
        </m:r>
        <m:r>
          <m:rPr>
            <m:sty m:val="p"/>
          </m:rPr>
          <m:t>*</m:t>
        </m:r>
      </m:oMath>
      <w:r>
        <w:rPr>
          <w:b/>
          <w:bCs/>
        </w:rPr>
        <w:t xml:space="preserve">61 million–$71 million</w:t>
      </w:r>
      <w:r>
        <w:t xml:space="preserve"> </w:t>
      </w:r>
      <w:r>
        <w:t xml:space="preserve">of additional pretax benefit across the second half, subject to capex timing and accounting.</w:t>
      </w:r>
    </w:p>
    <w:p>
      <w:pPr>
        <w:pStyle w:val="BodyText"/>
      </w:pPr>
      <w:r>
        <w:t xml:space="preserve">The key questions are:</w:t>
      </w:r>
    </w:p>
    <w:p>
      <w:pPr>
        <w:pStyle w:val="Compact"/>
        <w:numPr>
          <w:ilvl w:val="0"/>
          <w:numId w:val="1003"/>
        </w:numPr>
      </w:pPr>
      <w:r>
        <w:t xml:space="preserve">Is the full-year</w:t>
      </w:r>
      <w:r>
        <w:t xml:space="preserve"> </w:t>
      </w:r>
      <m:oMath>
        <m:r>
          <m:t>155</m:t>
        </m:r>
        <m:r>
          <m:t>m</m:t>
        </m:r>
        <m:r>
          <m:t>i</m:t>
        </m:r>
        <m:r>
          <m:t>l</m:t>
        </m:r>
        <m:r>
          <m:t>l</m:t>
        </m:r>
        <m:r>
          <m:t>i</m:t>
        </m:r>
        <m:r>
          <m:t>o</m:t>
        </m:r>
        <m:r>
          <m:t>n</m:t>
        </m:r>
        <m:r>
          <m:rPr>
            <m:sty m:val="p"/>
          </m:rPr>
          <m:t>–</m:t>
        </m:r>
      </m:oMath>
      <w:r>
        <w:rPr>
          <w:b/>
          <w:bCs/>
        </w:rPr>
        <w:t xml:space="preserve">165 million pretax</w:t>
      </w:r>
      <w:r>
        <w:t xml:space="preserve"> </w:t>
      </w:r>
      <w:r>
        <w:t xml:space="preserve">estimate unchanged?</w:t>
      </w:r>
    </w:p>
    <w:p>
      <w:pPr>
        <w:pStyle w:val="Compact"/>
        <w:numPr>
          <w:ilvl w:val="0"/>
          <w:numId w:val="1003"/>
        </w:numPr>
      </w:pPr>
      <w:r>
        <w:t xml:space="preserve">Has the accounting classification between O&amp;M and interest expense created any comparability issues?</w:t>
      </w:r>
    </w:p>
    <w:p>
      <w:pPr>
        <w:pStyle w:val="Compact"/>
        <w:numPr>
          <w:ilvl w:val="0"/>
          <w:numId w:val="1003"/>
        </w:numPr>
      </w:pPr>
      <w:r>
        <w:t xml:space="preserve">Does management still view FY26 as the “rebasing” year, with steadier 6%–8% EPS growth beginning from the new base in FY27?</w:t>
      </w:r>
    </w:p>
    <w:p>
      <w:pPr>
        <w:pStyle w:val="Compact"/>
        <w:numPr>
          <w:ilvl w:val="0"/>
          <w:numId w:val="1003"/>
        </w:numPr>
      </w:pPr>
      <w:r>
        <w:t xml:space="preserve">What portion of capital investment is eligible for the mechanism going forward?</w:t>
      </w:r>
    </w:p>
    <w:p>
      <w:pPr>
        <w:pStyle w:val="FirstParagraph"/>
      </w:pPr>
      <w:r>
        <w:t xml:space="preserve">A reaffirmation would support the idea that FY26’s earnings uplift is not merely a one-time gain, but instead a regulatory-timing improvement that strengthens the company’s ability to earn on its sizable investment program.</w:t>
      </w:r>
    </w:p>
    <w:bookmarkEnd w:id="13"/>
    <w:bookmarkStart w:id="14" w:name="X8e2bb204f2e9b8ebee6c0433cd5a321eb7b2ed0"/>
    <w:p>
      <w:pPr>
        <w:pStyle w:val="Heading3"/>
      </w:pPr>
      <w:r>
        <w:t xml:space="preserve">4. Regulatory execution: rate cases, formula mechanisms, and APT GRIP</w:t>
      </w:r>
    </w:p>
    <w:p>
      <w:pPr>
        <w:pStyle w:val="FirstParagraph"/>
      </w:pPr>
      <w:r>
        <w:t xml:space="preserve">At March 31, Atmos had</w:t>
      </w:r>
      <w:r>
        <w:t xml:space="preserve"> </w:t>
      </w:r>
      <w:r>
        <w:rPr>
          <w:b/>
          <w:bCs/>
        </w:rPr>
        <w:t xml:space="preserve">13 rate-related filings</w:t>
      </w:r>
      <w:r>
        <w:t xml:space="preserve"> </w:t>
      </w:r>
      <w:r>
        <w:t xml:space="preserve">underway seeking nearly</w:t>
      </w:r>
      <w:r>
        <w:t xml:space="preserve"> </w:t>
      </w:r>
      <w:r>
        <w:rPr>
          <w:b/>
          <w:bCs/>
        </w:rPr>
        <w:t xml:space="preserve">$600 million</w:t>
      </w:r>
      <w:r>
        <w:t xml:space="preserve"> </w:t>
      </w:r>
      <w:r>
        <w:t xml:space="preserve">of annual operating-income increases. Management expected approximately</w:t>
      </w:r>
      <w:r>
        <w:t xml:space="preserve"> </w:t>
      </w:r>
      <w:r>
        <w:rPr>
          <w:b/>
          <w:bCs/>
        </w:rPr>
        <w:t xml:space="preserve">40%</w:t>
      </w:r>
      <w:r>
        <w:t xml:space="preserve"> </w:t>
      </w:r>
      <w:r>
        <w:t xml:space="preserve">of that amount to be implemented primarily in the fiscal third quarter.</w:t>
      </w:r>
    </w:p>
    <w:p>
      <w:pPr>
        <w:pStyle w:val="BodyText"/>
      </w:pPr>
      <w:r>
        <w:t xml:space="preserve">The most consequential filing identified in May was APT’s GRIP filing, seeking a</w:t>
      </w:r>
      <w:r>
        <w:t xml:space="preserve"> </w:t>
      </w:r>
      <w:r>
        <w:rPr>
          <w:b/>
          <w:bCs/>
        </w:rPr>
        <w:t xml:space="preserve">$112.2 million</w:t>
      </w:r>
      <w:r>
        <w:t xml:space="preserve"> </w:t>
      </w:r>
      <w:r>
        <w:t xml:space="preserve">annual operating-income increase. It was scheduled for consideration by the Texas Railroad Commission in mid-May.</w:t>
      </w:r>
    </w:p>
    <w:p>
      <w:pPr>
        <w:pStyle w:val="BodyText"/>
      </w:pPr>
      <w:r>
        <w:t xml:space="preserve">The 3Q release should provide a clean update on:</w:t>
      </w:r>
    </w:p>
    <w:p>
      <w:pPr>
        <w:pStyle w:val="Compact"/>
        <w:numPr>
          <w:ilvl w:val="0"/>
          <w:numId w:val="1004"/>
        </w:numPr>
      </w:pPr>
      <w:r>
        <w:t xml:space="preserve">Actual approvals and effective dates;</w:t>
      </w:r>
    </w:p>
    <w:p>
      <w:pPr>
        <w:pStyle w:val="Compact"/>
        <w:numPr>
          <w:ilvl w:val="0"/>
          <w:numId w:val="1004"/>
        </w:numPr>
      </w:pPr>
      <w:r>
        <w:t xml:space="preserve">The outcome and timing of the APT GRIP process;</w:t>
      </w:r>
    </w:p>
    <w:p>
      <w:pPr>
        <w:pStyle w:val="Compact"/>
        <w:numPr>
          <w:ilvl w:val="0"/>
          <w:numId w:val="1004"/>
        </w:numPr>
      </w:pPr>
      <w:r>
        <w:t xml:space="preserve">Progress in the large Mid-Tex rate-review and infrastructure mechanisms;</w:t>
      </w:r>
    </w:p>
    <w:p>
      <w:pPr>
        <w:pStyle w:val="Compact"/>
        <w:numPr>
          <w:ilvl w:val="0"/>
          <w:numId w:val="1004"/>
        </w:numPr>
      </w:pPr>
      <w:r>
        <w:t xml:space="preserve">Resolution of the Colorado settlement, which contemplated a</w:t>
      </w:r>
      <w:r>
        <w:t xml:space="preserve"> </w:t>
      </w:r>
      <w:r>
        <w:rPr>
          <w:b/>
          <w:bCs/>
        </w:rPr>
        <w:t xml:space="preserve">$10.8 million</w:t>
      </w:r>
      <w:r>
        <w:t xml:space="preserve"> </w:t>
      </w:r>
      <w:r>
        <w:t xml:space="preserve">operating-income increase pending final approval; and</w:t>
      </w:r>
    </w:p>
    <w:p>
      <w:pPr>
        <w:pStyle w:val="Compact"/>
        <w:numPr>
          <w:ilvl w:val="0"/>
          <w:numId w:val="1004"/>
        </w:numPr>
      </w:pPr>
      <w:r>
        <w:t xml:space="preserve">Any incremental pressure from the Mississippi rate outcome, where the company had recorded a negative rate-case result in FY26’s first half.</w:t>
      </w:r>
    </w:p>
    <w:p>
      <w:pPr>
        <w:pStyle w:val="FirstParagraph"/>
      </w:pPr>
      <w:r>
        <w:t xml:space="preserve">For Atmos, rate outcomes are the primary bridge between capex and future earnings. Investors should focus more on the cadence and quality of these outcomes than on revenue growth, which is heavily influenced by pass-through gas costs.</w:t>
      </w:r>
    </w:p>
    <w:p>
      <w:r>
        <w:pict>
          <v:rect style="width:0;height:1.5pt" o:hralign="center" o:hrstd="t" o:hr="t"/>
        </w:pict>
      </w:r>
    </w:p>
    <w:bookmarkEnd w:id="14"/>
    <w:bookmarkEnd w:id="15"/>
    <w:bookmarkStart w:id="16" w:name="core-operating-backdrop-remains-solid"/>
    <w:p>
      <w:pPr>
        <w:pStyle w:val="Heading2"/>
      </w:pPr>
      <w:r>
        <w:t xml:space="preserve">Core operating backdrop remains solid</w:t>
      </w:r>
    </w:p>
    <w:p>
      <w:pPr>
        <w:pStyle w:val="FirstParagraph"/>
      </w:pPr>
      <w:r>
        <w:t xml:space="preserve">Atmos reported strong 1H26 operating performance:</w:t>
      </w:r>
    </w:p>
    <w:p>
      <w:pPr>
        <w:pStyle w:val="Compact"/>
        <w:numPr>
          <w:ilvl w:val="0"/>
          <w:numId w:val="1005"/>
        </w:numPr>
      </w:pPr>
      <w:r>
        <w:rPr>
          <w:b/>
          <w:bCs/>
        </w:rPr>
        <w:t xml:space="preserve">Diluted EPS:</w:t>
      </w:r>
      <w:r>
        <w:t xml:space="preserve"> </w:t>
      </w:r>
      <w:r>
        <w:t xml:space="preserve">$5.92, up from $5.26 a year earlier.</w:t>
      </w:r>
    </w:p>
    <w:p>
      <w:pPr>
        <w:pStyle w:val="Compact"/>
        <w:numPr>
          <w:ilvl w:val="0"/>
          <w:numId w:val="1005"/>
        </w:numPr>
      </w:pPr>
      <w:r>
        <w:rPr>
          <w:b/>
          <w:bCs/>
        </w:rPr>
        <w:t xml:space="preserve">Net income:</w:t>
      </w:r>
      <w:r>
        <w:t xml:space="preserve"> </w:t>
      </w:r>
      <w:r>
        <w:t xml:space="preserve">$984.9 million, up 17.6% year over year.</w:t>
      </w:r>
    </w:p>
    <w:p>
      <w:pPr>
        <w:pStyle w:val="Compact"/>
        <w:numPr>
          <w:ilvl w:val="0"/>
          <w:numId w:val="1005"/>
        </w:numPr>
      </w:pPr>
      <w:r>
        <w:rPr>
          <w:b/>
          <w:bCs/>
        </w:rPr>
        <w:t xml:space="preserve">Distribution operating income:</w:t>
      </w:r>
      <w:r>
        <w:t xml:space="preserve"> </w:t>
      </w:r>
      <w:r>
        <w:t xml:space="preserve">up</w:t>
      </w:r>
      <w:r>
        <w:t xml:space="preserve"> </w:t>
      </w:r>
      <w:r>
        <w:rPr>
          <w:b/>
          <w:bCs/>
        </w:rPr>
        <w:t xml:space="preserve">14.4%</w:t>
      </w:r>
      <w:r>
        <w:t xml:space="preserve">, led by rate adjustments, customer growth, and increased load.</w:t>
      </w:r>
    </w:p>
    <w:p>
      <w:pPr>
        <w:pStyle w:val="Compact"/>
        <w:numPr>
          <w:ilvl w:val="0"/>
          <w:numId w:val="1005"/>
        </w:numPr>
      </w:pPr>
      <w:r>
        <w:rPr>
          <w:b/>
          <w:bCs/>
        </w:rPr>
        <w:t xml:space="preserve">Pipeline and storage operating income:</w:t>
      </w:r>
      <w:r>
        <w:t xml:space="preserve"> </w:t>
      </w:r>
      <w:r>
        <w:t xml:space="preserve">up</w:t>
      </w:r>
      <w:r>
        <w:t xml:space="preserve"> </w:t>
      </w:r>
      <w:r>
        <w:rPr>
          <w:b/>
          <w:bCs/>
        </w:rPr>
        <w:t xml:space="preserve">26.2%</w:t>
      </w:r>
      <w:r>
        <w:t xml:space="preserve">, aided by APT rate adjustments, contracted capacity, and through-system activity.</w:t>
      </w:r>
    </w:p>
    <w:p>
      <w:pPr>
        <w:pStyle w:val="Compact"/>
        <w:numPr>
          <w:ilvl w:val="0"/>
          <w:numId w:val="1005"/>
        </w:numPr>
      </w:pPr>
      <w:r>
        <w:rPr>
          <w:b/>
          <w:bCs/>
        </w:rPr>
        <w:t xml:space="preserve">Customer growth:</w:t>
      </w:r>
      <w:r>
        <w:t xml:space="preserve"> </w:t>
      </w:r>
      <w:r>
        <w:t xml:space="preserve">more than 51,000 customers added over the trailing 12 months ending March 31, with more than 39,000 in Texas.</w:t>
      </w:r>
    </w:p>
    <w:p>
      <w:pPr>
        <w:pStyle w:val="FirstParagraph"/>
      </w:pPr>
      <w:r>
        <w:t xml:space="preserve">Importantly, this performance occurred despite lower distribution throughput in the winter-heavy first half. That underscores the value of Atmos’s weather-normalization mechanisms, customer charges, and regulatory design. Approximately 97% of residential and commercial revenue is covered by weather-normalization arrangements for at least part of the year.</w:t>
      </w:r>
    </w:p>
    <w:p>
      <w:r>
        <w:pict>
          <v:rect style="width:0;height:1.5pt" o:hralign="center" o:hrstd="t" o:hr="t"/>
        </w:pict>
      </w:r>
    </w:p>
    <w:bookmarkEnd w:id="16"/>
    <w:bookmarkStart w:id="17" w:name="Xdf0de558b6b184bc1a566c1fbe6700dcf044735"/>
    <w:p>
      <w:pPr>
        <w:pStyle w:val="Heading2"/>
      </w:pPr>
      <w:r>
        <w:t xml:space="preserve">Capex, funding, and dilution: the trade-off investors should monitor</w:t>
      </w:r>
    </w:p>
    <w:p>
      <w:pPr>
        <w:pStyle w:val="FirstParagraph"/>
      </w:pPr>
      <w:r>
        <w:t xml:space="preserve">Atmos’s growth story is capital intensive. It plans approximately</w:t>
      </w:r>
      <w:r>
        <w:t xml:space="preserve"> </w:t>
      </w:r>
      <m:oMath>
        <m:r>
          <m:t>26</m:t>
        </m:r>
        <m:r>
          <m:t>b</m:t>
        </m:r>
        <m:r>
          <m:t>i</m:t>
        </m:r>
        <m:r>
          <m:t>l</m:t>
        </m:r>
        <m:r>
          <m:t>l</m:t>
        </m:r>
        <m:r>
          <m:t>i</m:t>
        </m:r>
        <m:r>
          <m:t>o</m:t>
        </m:r>
        <m:r>
          <m:t>n</m:t>
        </m:r>
        <m:r>
          <m:t>o</m:t>
        </m:r>
        <m:r>
          <m:t>f</m:t>
        </m:r>
        <m:r>
          <m:t>c</m:t>
        </m:r>
        <m:r>
          <m:t>a</m:t>
        </m:r>
        <m:r>
          <m:t>p</m:t>
        </m:r>
        <m:r>
          <m:t>i</m:t>
        </m:r>
        <m:r>
          <m:t>t</m:t>
        </m:r>
        <m:r>
          <m:t>a</m:t>
        </m:r>
        <m:r>
          <m:t>l</m:t>
        </m:r>
        <m:r>
          <m:t>s</m:t>
        </m:r>
        <m:r>
          <m:t>p</m:t>
        </m:r>
        <m:r>
          <m:t>e</m:t>
        </m:r>
        <m:r>
          <m:t>n</m:t>
        </m:r>
        <m:r>
          <m:t>d</m:t>
        </m:r>
        <m:r>
          <m:t>i</m:t>
        </m:r>
        <m:r>
          <m:t>n</m:t>
        </m:r>
        <m:r>
          <m:t>g</m:t>
        </m:r>
        <m:r>
          <m:t>b</m:t>
        </m:r>
        <m:r>
          <m:t>e</m:t>
        </m:r>
        <m:r>
          <m:t>t</m:t>
        </m:r>
        <m:r>
          <m:t>w</m:t>
        </m:r>
        <m:r>
          <m:t>e</m:t>
        </m:r>
        <m:r>
          <m:t>e</m:t>
        </m:r>
        <m:r>
          <m:t>n</m:t>
        </m:r>
        <m:r>
          <m:t>F</m:t>
        </m:r>
        <m:r>
          <m:t>Y</m:t>
        </m:r>
        <m:r>
          <m:t>26</m:t>
        </m:r>
        <m:r>
          <m:t>a</m:t>
        </m:r>
        <m:r>
          <m:t>n</m:t>
        </m:r>
        <m:r>
          <m:t>d</m:t>
        </m:r>
        <m:r>
          <m:t>F</m:t>
        </m:r>
        <m:r>
          <m:t>Y</m:t>
        </m:r>
        <m:r>
          <m:t>30</m:t>
        </m:r>
        <m:r>
          <m:rPr>
            <m:sty m:val="p"/>
          </m:rPr>
          <m:t>*</m:t>
        </m:r>
        <m:r>
          <m:rPr>
            <m:sty m:val="p"/>
          </m:rPr>
          <m:t>*</m:t>
        </m:r>
        <m:r>
          <m:rPr>
            <m:sty m:val="p"/>
          </m:rPr>
          <m:t>,</m:t>
        </m:r>
        <m:r>
          <m:t>w</m:t>
        </m:r>
        <m:r>
          <m:t>i</m:t>
        </m:r>
        <m:r>
          <m:t>t</m:t>
        </m:r>
        <m:r>
          <m:t>h</m:t>
        </m:r>
        <m:r>
          <m:t>m</m:t>
        </m:r>
        <m:r>
          <m:t>o</m:t>
        </m:r>
        <m:r>
          <m:t>r</m:t>
        </m:r>
        <m:r>
          <m:t>e</m:t>
        </m:r>
        <m:r>
          <m:t>t</m:t>
        </m:r>
        <m:r>
          <m:t>h</m:t>
        </m:r>
        <m:r>
          <m:t>a</m:t>
        </m:r>
        <m:r>
          <m:t>n</m:t>
        </m:r>
        <m:r>
          <m:t>80</m:t>
        </m:r>
      </m:oMath>
      <w:r>
        <w:rPr>
          <w:b/>
          <w:bCs/>
        </w:rPr>
        <w:t xml:space="preserve">4.2 billion</w:t>
      </w:r>
      <w:r>
        <w:t xml:space="preserve">, and the company had already spent $2.04 billion in the first half.</w:t>
      </w:r>
    </w:p>
    <w:p>
      <w:pPr>
        <w:pStyle w:val="BodyText"/>
      </w:pPr>
      <w:r>
        <w:t xml:space="preserve">Funding has been proactive:</w:t>
      </w:r>
    </w:p>
    <w:p>
      <w:pPr>
        <w:pStyle w:val="Compact"/>
        <w:numPr>
          <w:ilvl w:val="0"/>
          <w:numId w:val="1006"/>
        </w:numPr>
      </w:pPr>
      <w:r>
        <w:t xml:space="preserve">During 1H26, Atmos raised approximately</w:t>
      </w:r>
      <w:r>
        <w:t xml:space="preserve"> </w:t>
      </w:r>
      <w:r>
        <w:rPr>
          <w:b/>
          <w:bCs/>
        </w:rPr>
        <w:t xml:space="preserve">$1.3 billion</w:t>
      </w:r>
      <w:r>
        <w:t xml:space="preserve"> </w:t>
      </w:r>
      <w:r>
        <w:t xml:space="preserve">through debt and equity.</w:t>
      </w:r>
    </w:p>
    <w:p>
      <w:pPr>
        <w:pStyle w:val="Compact"/>
        <w:numPr>
          <w:ilvl w:val="0"/>
          <w:numId w:val="1006"/>
        </w:numPr>
      </w:pPr>
      <w:r>
        <w:t xml:space="preserve">It settled forward-sale agreements for</w:t>
      </w:r>
      <w:r>
        <w:t xml:space="preserve"> </w:t>
      </w:r>
      <w:r>
        <w:rPr>
          <w:b/>
          <w:bCs/>
        </w:rPr>
        <w:t xml:space="preserve">5.1 million shares</w:t>
      </w:r>
      <w:r>
        <w:t xml:space="preserve">, generating</w:t>
      </w:r>
      <w:r>
        <w:t xml:space="preserve"> </w:t>
      </w:r>
      <w:r>
        <w:rPr>
          <w:b/>
          <w:bCs/>
        </w:rPr>
        <w:t xml:space="preserve">$671.6 million</w:t>
      </w:r>
      <w:r>
        <w:t xml:space="preserve"> </w:t>
      </w:r>
      <w:r>
        <w:t xml:space="preserve">of net proceeds.</w:t>
      </w:r>
    </w:p>
    <w:p>
      <w:pPr>
        <w:pStyle w:val="Compact"/>
        <w:numPr>
          <w:ilvl w:val="0"/>
          <w:numId w:val="1006"/>
        </w:numPr>
      </w:pPr>
      <w:r>
        <w:t xml:space="preserve">As of March 31, it still had</w:t>
      </w:r>
      <w:r>
        <w:t xml:space="preserve"> </w:t>
      </w:r>
      <w:r>
        <w:rPr>
          <w:b/>
          <w:bCs/>
        </w:rPr>
        <w:t xml:space="preserve">$890.1 million</w:t>
      </w:r>
      <w:r>
        <w:t xml:space="preserve"> </w:t>
      </w:r>
      <w:r>
        <w:t xml:space="preserve">of proceeds available under forward-sale agreements.</w:t>
      </w:r>
    </w:p>
    <w:p>
      <w:pPr>
        <w:pStyle w:val="Compact"/>
        <w:numPr>
          <w:ilvl w:val="0"/>
          <w:numId w:val="1006"/>
        </w:numPr>
      </w:pPr>
      <w:r>
        <w:t xml:space="preserve">On June 18, Atmos issued</w:t>
      </w:r>
      <w:r>
        <w:t xml:space="preserve"> </w:t>
      </w:r>
      <m:oMath>
        <m:r>
          <m:t>700</m:t>
        </m:r>
        <m:r>
          <m:t>m</m:t>
        </m:r>
        <m:r>
          <m:t>i</m:t>
        </m:r>
        <m:r>
          <m:t>l</m:t>
        </m:r>
        <m:r>
          <m:t>l</m:t>
        </m:r>
        <m:r>
          <m:t>i</m:t>
        </m:r>
        <m:r>
          <m:t>o</m:t>
        </m:r>
        <m:r>
          <m:t>n</m:t>
        </m:r>
        <m:r>
          <m:rPr>
            <m:sty m:val="p"/>
          </m:rPr>
          <m:t>*</m:t>
        </m:r>
        <m:r>
          <m:rPr>
            <m:sty m:val="p"/>
          </m:rPr>
          <m:t>*</m:t>
        </m:r>
        <m:r>
          <m:t>o</m:t>
        </m:r>
        <m:r>
          <m:t>f</m:t>
        </m:r>
        <m:r>
          <m:t>4.75</m:t>
        </m:r>
      </m:oMath>
      <w:r>
        <w:rPr>
          <w:b/>
          <w:bCs/>
        </w:rPr>
        <w:t xml:space="preserve">693.9 million</w:t>
      </w:r>
      <w:r>
        <w:t xml:space="preserve">.</w:t>
      </w:r>
    </w:p>
    <w:p>
      <w:pPr>
        <w:pStyle w:val="FirstParagraph"/>
      </w:pPr>
      <w:r>
        <w:t xml:space="preserve">This supports liquidity and the targeted 60%-plus equity capitalization, but it also means investors should monitor the timing and extent of future share issuance. The balance-sheet strategy is prudent for a utility executing a large capex program; however, per-share growth depends on regulatory recovery and earnings growth exceeding the dilution from incremental equity financing.</w:t>
      </w:r>
    </w:p>
    <w:p>
      <w:r>
        <w:pict>
          <v:rect style="width:0;height:1.5pt" o:hralign="center" o:hrstd="t" o:hr="t"/>
        </w:pict>
      </w:r>
    </w:p>
    <w:bookmarkEnd w:id="17"/>
    <w:bookmarkStart w:id="18" w:name="risks-and-potential-negatives"/>
    <w:p>
      <w:pPr>
        <w:pStyle w:val="Heading2"/>
      </w:pPr>
      <w:r>
        <w:t xml:space="preserve">Risks and potential negatives</w:t>
      </w:r>
    </w:p>
    <w:p>
      <w:pPr>
        <w:numPr>
          <w:ilvl w:val="0"/>
          <w:numId w:val="1007"/>
        </w:numPr>
      </w:pPr>
      <w:r>
        <w:rPr>
          <w:b/>
          <w:bCs/>
        </w:rPr>
        <w:t xml:space="preserve">APT spread normalization.</w:t>
      </w:r>
      <w:r>
        <w:t xml:space="preserve"> </w:t>
      </w:r>
      <w:r>
        <w:t xml:space="preserve">APT through-system revenue has been a meaningful FY26 tailwind, but it is commodity-spread sensitive and may not recur at current levels.</w:t>
      </w:r>
    </w:p>
    <w:p>
      <w:pPr>
        <w:numPr>
          <w:ilvl w:val="0"/>
          <w:numId w:val="1007"/>
        </w:numPr>
      </w:pPr>
      <w:r>
        <w:rPr>
          <w:b/>
          <w:bCs/>
        </w:rPr>
        <w:t xml:space="preserve">Regulatory timing and outcomes.</w:t>
      </w:r>
      <w:r>
        <w:t xml:space="preserve"> </w:t>
      </w:r>
      <w:r>
        <w:t xml:space="preserve">The investment thesis depends on recovery mechanisms continuing to minimize lag. Delays or less favorable-than-requested outcomes could slow EPS realization.</w:t>
      </w:r>
    </w:p>
    <w:p>
      <w:pPr>
        <w:numPr>
          <w:ilvl w:val="0"/>
          <w:numId w:val="1007"/>
        </w:numPr>
      </w:pPr>
      <w:r>
        <w:rPr>
          <w:b/>
          <w:bCs/>
        </w:rPr>
        <w:t xml:space="preserve">Cost pressure.</w:t>
      </w:r>
      <w:r>
        <w:t xml:space="preserve"> </w:t>
      </w:r>
      <w:r>
        <w:t xml:space="preserve">Management maintained FY26 O&amp;M guidance of</w:t>
      </w:r>
      <w:r>
        <w:t xml:space="preserve"> </w:t>
      </w:r>
      <m:oMath>
        <m:r>
          <m:t>865</m:t>
        </m:r>
        <m:r>
          <m:t>m</m:t>
        </m:r>
        <m:r>
          <m:t>i</m:t>
        </m:r>
        <m:r>
          <m:t>l</m:t>
        </m:r>
        <m:r>
          <m:t>l</m:t>
        </m:r>
        <m:r>
          <m:t>i</m:t>
        </m:r>
        <m:r>
          <m:t>o</m:t>
        </m:r>
        <m:r>
          <m:t>n</m:t>
        </m:r>
        <m:r>
          <m:rPr>
            <m:sty m:val="p"/>
          </m:rPr>
          <m:t>–</m:t>
        </m:r>
      </m:oMath>
      <w:r>
        <w:rPr>
          <w:b/>
          <w:bCs/>
        </w:rPr>
        <w:t xml:space="preserve">885 million</w:t>
      </w:r>
      <w:r>
        <w:t xml:space="preserve">, with expected higher system-monitoring, compliance, labor, and safety-related costs offsetting some regulatory benefits.</w:t>
      </w:r>
    </w:p>
    <w:p>
      <w:pPr>
        <w:numPr>
          <w:ilvl w:val="0"/>
          <w:numId w:val="1007"/>
        </w:numPr>
      </w:pPr>
      <w:r>
        <w:rPr>
          <w:b/>
          <w:bCs/>
        </w:rPr>
        <w:t xml:space="preserve">Capital-market dependence.</w:t>
      </w:r>
      <w:r>
        <w:t xml:space="preserve"> </w:t>
      </w:r>
      <w:r>
        <w:t xml:space="preserve">Capex substantially exceeds internally generated cash flow, requiring continued access to debt and equity markets at reasonable terms.</w:t>
      </w:r>
    </w:p>
    <w:p>
      <w:pPr>
        <w:numPr>
          <w:ilvl w:val="0"/>
          <w:numId w:val="1007"/>
        </w:numPr>
      </w:pPr>
      <w:r>
        <w:rPr>
          <w:b/>
          <w:bCs/>
        </w:rPr>
        <w:t xml:space="preserve">Safety and litigation exposure.</w:t>
      </w:r>
      <w:r>
        <w:t xml:space="preserve"> </w:t>
      </w:r>
      <w:r>
        <w:t xml:space="preserve">The company disclosed ongoing matters associated with prior incidents in Mississippi and Louisiana, including an NTSB final report and safety recommendation related to the January 2024 Jackson, Mississippi incidents. Any material update on remediation, regulatory action, or costs would matter.</w:t>
      </w:r>
    </w:p>
    <w:p>
      <w:r>
        <w:pict>
          <v:rect style="width:0;height:1.5pt" o:hralign="center" o:hrstd="t" o:hr="t"/>
        </w:pict>
      </w:r>
    </w:p>
    <w:bookmarkEnd w:id="18"/>
    <w:bookmarkStart w:id="19" w:name="stock-context"/>
    <w:p>
      <w:pPr>
        <w:pStyle w:val="Heading2"/>
      </w:pPr>
      <w:r>
        <w:t xml:space="preserve">Stock context</w:t>
      </w:r>
    </w:p>
    <w:p>
      <w:pPr>
        <w:pStyle w:val="FirstParagraph"/>
      </w:pPr>
      <w:r>
        <w:t xml:space="preserve">ATO closed at</w:t>
      </w:r>
      <w:r>
        <w:t xml:space="preserve"> </w:t>
      </w:r>
      <w:r>
        <w:rPr>
          <w:b/>
          <w:bCs/>
        </w:rPr>
        <w:t xml:space="preserve">$172.68 on August 4</w:t>
      </w:r>
      <w:r>
        <w:t xml:space="preserve">. The shares are modestly above the January 2 close of $169.36, but are down roughly</w:t>
      </w:r>
      <w:r>
        <w:t xml:space="preserve"> </w:t>
      </w:r>
      <w:r>
        <w:rPr>
          <w:b/>
          <w:bCs/>
        </w:rPr>
        <w:t xml:space="preserve">10% from the April 9 high of $192.29</w:t>
      </w:r>
      <w:r>
        <w:t xml:space="preserve"> </w:t>
      </w:r>
      <w:r>
        <w:t xml:space="preserve">and about</w:t>
      </w:r>
      <w:r>
        <w:t xml:space="preserve"> </w:t>
      </w:r>
      <w:r>
        <w:rPr>
          <w:b/>
          <w:bCs/>
        </w:rPr>
        <w:t xml:space="preserve">6.5% below the May 6 close</w:t>
      </w:r>
      <w:r>
        <w:t xml:space="preserve"> </w:t>
      </w:r>
      <w:r>
        <w:t xml:space="preserve">immediately before the prior earnings release.</w:t>
      </w:r>
    </w:p>
    <w:p>
      <w:pPr>
        <w:pStyle w:val="BodyText"/>
      </w:pPr>
      <w:r>
        <w:t xml:space="preserve">That setup suggests the market may be looking for more than a routine beat: investors likely want evidence that the Texas regulatory benefit is firmly embedded, APT is delivering on the second-half contribution assumed in guidance, and the company can sustain its long-term EPS growth algorithm while funding elevated capex.</w:t>
      </w:r>
    </w:p>
    <w:bookmarkEnd w:id="19"/>
    <w:bookmarkStart w:id="20" w:name="bottom-line"/>
    <w:p>
      <w:pPr>
        <w:pStyle w:val="Heading2"/>
      </w:pPr>
      <w:r>
        <w:t xml:space="preserve">Bottom line</w:t>
      </w:r>
    </w:p>
    <w:p>
      <w:pPr>
        <w:pStyle w:val="FirstParagraph"/>
      </w:pPr>
      <w:r>
        <w:t xml:space="preserve">The most constructive 3Q outcome would combine:</w:t>
      </w:r>
    </w:p>
    <w:p>
      <w:pPr>
        <w:pStyle w:val="Compact"/>
        <w:numPr>
          <w:ilvl w:val="0"/>
          <w:numId w:val="1008"/>
        </w:numPr>
      </w:pPr>
      <w:r>
        <w:t xml:space="preserve">reaffirmed or increased</w:t>
      </w:r>
      <w:r>
        <w:t xml:space="preserve"> </w:t>
      </w:r>
      <m:oMath>
        <m:r>
          <m:t>8.40</m:t>
        </m:r>
        <m:r>
          <m:rPr>
            <m:sty m:val="p"/>
          </m:rPr>
          <m:t>–</m:t>
        </m:r>
      </m:oMath>
      <w:r>
        <w:rPr>
          <w:b/>
          <w:bCs/>
        </w:rPr>
        <w:t xml:space="preserve">8.50</w:t>
      </w:r>
      <w:r>
        <w:t xml:space="preserve"> </w:t>
      </w:r>
      <w:r>
        <w:t xml:space="preserve">FY26 EPS guidance;</w:t>
      </w:r>
    </w:p>
    <w:p>
      <w:pPr>
        <w:pStyle w:val="Compact"/>
        <w:numPr>
          <w:ilvl w:val="0"/>
          <w:numId w:val="1008"/>
        </w:numPr>
      </w:pPr>
      <w:r>
        <w:t xml:space="preserve">confirmation that Rule 7.7102 remains on track for a</w:t>
      </w:r>
      <w:r>
        <w:t xml:space="preserve"> </w:t>
      </w:r>
      <m:oMath>
        <m:r>
          <m:t>155</m:t>
        </m:r>
        <m:r>
          <m:t>m</m:t>
        </m:r>
        <m:r>
          <m:t>i</m:t>
        </m:r>
        <m:r>
          <m:t>l</m:t>
        </m:r>
        <m:r>
          <m:t>l</m:t>
        </m:r>
        <m:r>
          <m:t>i</m:t>
        </m:r>
        <m:r>
          <m:t>o</m:t>
        </m:r>
        <m:r>
          <m:t>n</m:t>
        </m:r>
        <m:r>
          <m:rPr>
            <m:sty m:val="p"/>
          </m:rPr>
          <m:t>–</m:t>
        </m:r>
      </m:oMath>
      <w:r>
        <w:rPr>
          <w:b/>
          <w:bCs/>
        </w:rPr>
        <w:t xml:space="preserve">165 million pretax</w:t>
      </w:r>
      <w:r>
        <w:t xml:space="preserve"> </w:t>
      </w:r>
      <w:r>
        <w:t xml:space="preserve">FY26 benefit;</w:t>
      </w:r>
    </w:p>
    <w:p>
      <w:pPr>
        <w:pStyle w:val="Compact"/>
        <w:numPr>
          <w:ilvl w:val="0"/>
          <w:numId w:val="1008"/>
        </w:numPr>
      </w:pPr>
      <w:r>
        <w:t xml:space="preserve">APT through-system performance consistent with the remaining</w:t>
      </w:r>
      <w:r>
        <w:t xml:space="preserve"> </w:t>
      </w:r>
      <m:oMath>
        <m:r>
          <m:t>0.08</m:t>
        </m:r>
        <m:r>
          <m:rPr>
            <m:sty m:val="p"/>
          </m:rPr>
          <m:t>–</m:t>
        </m:r>
      </m:oMath>
      <w:r>
        <w:rPr>
          <w:b/>
          <w:bCs/>
        </w:rPr>
        <w:t xml:space="preserve">0.12</w:t>
      </w:r>
      <w:r>
        <w:t xml:space="preserve"> </w:t>
      </w:r>
      <w:r>
        <w:t xml:space="preserve">second-half EPS contribution;</w:t>
      </w:r>
    </w:p>
    <w:p>
      <w:pPr>
        <w:pStyle w:val="Compact"/>
        <w:numPr>
          <w:ilvl w:val="0"/>
          <w:numId w:val="1008"/>
        </w:numPr>
      </w:pPr>
      <w:r>
        <w:t xml:space="preserve">tangible progress on APT GRIP and the broader rate-case pipeline; and</w:t>
      </w:r>
    </w:p>
    <w:p>
      <w:pPr>
        <w:pStyle w:val="Compact"/>
        <w:numPr>
          <w:ilvl w:val="0"/>
          <w:numId w:val="1008"/>
        </w:numPr>
      </w:pPr>
      <w:r>
        <w:t xml:space="preserve">a disciplined funding outlook that protects the targeted equity capitalization without surprising investors with accelerated dilution.</w:t>
      </w:r>
    </w:p>
    <w:p>
      <w:pPr>
        <w:pStyle w:val="FirstParagraph"/>
      </w:pPr>
      <w:r>
        <w:t xml:space="preserve">Conversely, weaker APT spreads, a less favorable regulatory cadence, or higher-than-expected O&amp;M and financing needs would challenge the upgraded FY26 base and likely become the focal points for FY27 expectations.</w:t>
      </w:r>
    </w:p>
    <w:p>
      <w:pPr>
        <w:pStyle w:val="BodyText"/>
      </w:pPr>
      <w:r>
        <w:rPr>
          <w:i/>
          <w:iCs/>
        </w:rPr>
        <w:t xml:space="preserve">Sources: Atmos Energy fiscal 2Q26 earnings release, 10-Q, earnings-call transcript, and June 18, 2026 debt-offering 8-K; ATO historical closing-price data through August 4, 2026.</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2026-08-05T01:26:20Z</dcterms:created>
  <dcterms:modified xsi:type="dcterms:W3CDTF">2026-08-05T01:26:20Z</dcterms:modified>
</cp:coreProperties>
</file>

<file path=docProps/custom.xml><?xml version="1.0" encoding="utf-8"?>
<Properties xmlns="http://schemas.openxmlformats.org/officeDocument/2006/custom-properties" xmlns:vt="http://schemas.openxmlformats.org/officeDocument/2006/docPropsVTypes"/>
</file>