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Atmos Energy Corporation (ATO) — Fiscal Q3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Ticker</w:t>
            </w:r>
          </w:p>
        </w:tc>
        <w:tc>
          <w:tcPr>
            <w:tcW w:type="dxa" w:w="2160"/>
          </w:tcPr>
          <w:p>
            <w:r>
              <w:rPr>
                <w:rFonts w:ascii="Calibri" w:hAnsi="Calibri"/>
                <w:sz w:val="22"/>
              </w:rPr>
              <w:t>ATO</w:t>
            </w:r>
          </w:p>
        </w:tc>
        <w:tc>
          <w:tcPr>
            <w:tcW w:type="dxa" w:w="2160"/>
          </w:tcPr>
          <w:p>
            <w:r>
              <w:rPr>
                <w:rFonts w:ascii="Calibri" w:hAnsi="Calibri"/>
                <w:b/>
                <w:sz w:val="22"/>
              </w:rPr>
              <w:t>Earnings Release</w:t>
            </w:r>
          </w:p>
        </w:tc>
        <w:tc>
          <w:tcPr>
            <w:tcW w:type="dxa" w:w="2160"/>
          </w:tcPr>
          <w:p>
            <w:r>
              <w:rPr>
                <w:rFonts w:ascii="Calibri" w:hAnsi="Calibri"/>
                <w:sz w:val="22"/>
              </w:rPr>
              <w:t>August 5, 2026 (After Market Close)</w:t>
            </w:r>
          </w:p>
        </w:tc>
      </w:tr>
      <w:tr>
        <w:tc>
          <w:tcPr>
            <w:tcW w:type="dxa" w:w="2160"/>
          </w:tcPr>
          <w:p>
            <w:r>
              <w:rPr>
                <w:rFonts w:ascii="Calibri" w:hAnsi="Calibri"/>
                <w:b/>
                <w:sz w:val="22"/>
              </w:rPr>
              <w:t>Exchange</w:t>
            </w:r>
          </w:p>
        </w:tc>
        <w:tc>
          <w:tcPr>
            <w:tcW w:type="dxa" w:w="2160"/>
          </w:tcPr>
          <w:p>
            <w:r>
              <w:rPr>
                <w:rFonts w:ascii="Calibri" w:hAnsi="Calibri"/>
                <w:sz w:val="22"/>
              </w:rPr>
              <w:t>NYSE</w:t>
            </w:r>
          </w:p>
        </w:tc>
        <w:tc>
          <w:tcPr>
            <w:tcW w:type="dxa" w:w="2160"/>
          </w:tcPr>
          <w:p>
            <w:r>
              <w:rPr>
                <w:rFonts w:ascii="Calibri" w:hAnsi="Calibri"/>
                <w:b/>
                <w:sz w:val="22"/>
              </w:rPr>
              <w:t>Conference Call</w:t>
            </w:r>
          </w:p>
        </w:tc>
        <w:tc>
          <w:tcPr>
            <w:tcW w:type="dxa" w:w="2160"/>
          </w:tcPr>
          <w:p>
            <w:r>
              <w:rPr>
                <w:rFonts w:ascii="Calibri" w:hAnsi="Calibri"/>
                <w:sz w:val="22"/>
              </w:rPr>
              <w:t>August 6, 2026 — 10:00 AM ET</w:t>
            </w:r>
          </w:p>
        </w:tc>
      </w:tr>
      <w:tr>
        <w:tc>
          <w:tcPr>
            <w:tcW w:type="dxa" w:w="2160"/>
          </w:tcPr>
          <w:p>
            <w:r>
              <w:rPr>
                <w:rFonts w:ascii="Calibri" w:hAnsi="Calibri"/>
                <w:b/>
                <w:sz w:val="22"/>
              </w:rPr>
              <w:t>Reporting Period</w:t>
            </w:r>
          </w:p>
        </w:tc>
        <w:tc>
          <w:tcPr>
            <w:tcW w:type="dxa" w:w="2160"/>
          </w:tcPr>
          <w:p>
            <w:r>
              <w:rPr>
                <w:rFonts w:ascii="Calibri" w:hAnsi="Calibri"/>
                <w:sz w:val="22"/>
              </w:rPr>
              <w:t>Fiscal Q3 2026 (ended June 30, 2026)</w:t>
            </w:r>
          </w:p>
        </w:tc>
        <w:tc>
          <w:tcPr>
            <w:tcW w:type="dxa" w:w="2160"/>
          </w:tcPr>
          <w:p>
            <w:r>
              <w:rPr>
                <w:rFonts w:ascii="Calibri" w:hAnsi="Calibri"/>
                <w:b/>
                <w:sz w:val="22"/>
              </w:rPr>
              <w:t>Prepared</w:t>
            </w:r>
          </w:p>
        </w:tc>
        <w:tc>
          <w:tcPr>
            <w:tcW w:type="dxa" w:w="2160"/>
          </w:tcPr>
          <w:p>
            <w:r>
              <w:rPr>
                <w:rFonts w:ascii="Calibri" w:hAnsi="Calibri"/>
                <w:sz w:val="22"/>
              </w:rPr>
              <w:t>August 4, 2026</w:t>
            </w:r>
          </w:p>
        </w:tc>
      </w:tr>
      <w:tr>
        <w:tc>
          <w:tcPr>
            <w:tcW w:type="dxa" w:w="2160"/>
          </w:tcPr>
          <w:p>
            <w:r>
              <w:rPr>
                <w:rFonts w:ascii="Calibri" w:hAnsi="Calibri"/>
                <w:b/>
                <w:sz w:val="22"/>
              </w:rPr>
              <w:t>Sector</w:t>
            </w:r>
          </w:p>
        </w:tc>
        <w:tc>
          <w:tcPr>
            <w:tcW w:type="dxa" w:w="2160"/>
          </w:tcPr>
          <w:p>
            <w:r>
              <w:rPr>
                <w:rFonts w:ascii="Calibri" w:hAnsi="Calibri"/>
                <w:sz w:val="22"/>
              </w:rPr>
              <w:t>Utilities — Regulated Gas</w:t>
            </w:r>
          </w:p>
        </w:tc>
        <w:tc>
          <w:tcPr>
            <w:tcW w:type="dxa" w:w="2160"/>
          </w:tcPr>
          <w:p>
            <w:r>
              <w:rPr>
                <w:rFonts w:ascii="Calibri" w:hAnsi="Calibri"/>
                <w:b/>
                <w:sz w:val="22"/>
              </w:rPr>
              <w:t>Last Earnings</w:t>
            </w:r>
          </w:p>
        </w:tc>
        <w:tc>
          <w:tcPr>
            <w:tcW w:type="dxa" w:w="2160"/>
          </w:tcPr>
          <w:p>
            <w:r>
              <w:rPr>
                <w:rFonts w:ascii="Calibri" w:hAnsi="Calibri"/>
                <w:sz w:val="22"/>
              </w:rPr>
              <w:t>May 6, 2026 (Fiscal Q2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ATO’s Q3 2026 print is mixed-to-cautious — consensus EPS of ~$1.02 sits well below the prior-year Q3 actual of $1.16, and the biggest swing factor is whether Waha spread performance in the second half of fiscal 2026 tracks management’s guided $0.08–$0.12 incremental contribution or disappoints as spreads moderate from first-half highs.</w:t>
      </w:r>
    </w:p>
    <w:p>
      <w:r>
        <w:rPr>
          <w:rFonts w:ascii="Calibri" w:hAnsi="Calibri"/>
          <w:color w:val="525866"/>
          <w:sz w:val="22"/>
        </w:rPr>
        <w:t xml:space="preserve">Heading into ATO’s fiscal Q3 2026 print, the bar is set low relative to the prior year: consensus operating EPS of ~$1.02 compares to $1.16 reported in Q3 2025, reflecting the seasonal trough nature of the June quarter for a gas utility and the normalization of Waha spreads from the exceptional $4.35/Mcf average captured in the first half of fiscal 2026. </w:t>
      </w:r>
      <w:r>
        <w:rPr>
          <w:rFonts w:ascii="Calibri" w:hAnsi="Calibri"/>
          <w:b/>
          <w:color w:val="525866"/>
          <w:sz w:val="22"/>
        </w:rPr>
        <w:t>Management’s tone at the Q2 2026 call was constructive but deliberately cautious on Waha</w:t>
      </w:r>
      <w:r>
        <w:rPr>
          <w:rFonts w:ascii="Calibri" w:hAnsi="Calibri"/>
          <w:color w:val="525866"/>
          <w:sz w:val="22"/>
        </w:rPr>
        <w:t xml:space="preserve"> — they guided for an additional $0.08–$0.12 of APT through-system contribution in the second half but declined to extrapolate spread assumptions into fiscal 2027, citing the need to observe summer power load season. Estimate revisions have been modest and directionally in line with the raised FY2026 guidance range of $8.40–$8.50, with current FY2026 consensus at ~$8.45 tracking the midpoint. </w:t>
      </w:r>
      <w:r>
        <w:rPr>
          <w:rFonts w:ascii="Calibri" w:hAnsi="Calibri"/>
          <w:b/>
          <w:color w:val="525866"/>
          <w:sz w:val="22"/>
        </w:rPr>
        <w:t>The stock has underperformed both XLU (−3.5%) and the S&amp;P 500 (+5.1%) since the Q2 print, declining ~6.6% from $184.76 to $172.65</w:t>
      </w:r>
      <w:r>
        <w:rPr>
          <w:rFonts w:ascii="Calibri" w:hAnsi="Calibri"/>
          <w:color w:val="525866"/>
          <w:sz w:val="22"/>
        </w:rPr>
        <w:t>, suggesting the market has not priced in a beat and the valuation has compressed modestly. The key wildcard is Waha spread realization in Q3 — if spreads tracked closer to the first-half average than the conservative second-half assumption, there is upside; if they compressed sharply, the $0.08–$0.12 guide could prove optimistic and the stock could re-test recent lows.</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low bar for Q3 2026 — operating EPS of ~$1.02 is 12% below the prior-year Q3 actual of $1.16, reflecting Waha spread normalization and seasonal softness. </w:t>
      </w:r>
      <w:r>
        <w:rPr>
          <w:rFonts w:ascii="Calibri" w:hAnsi="Calibri"/>
          <w:b/>
          <w:color w:val="525866"/>
          <w:sz w:val="22"/>
        </w:rPr>
        <w:t>APT through-system revenue realization is the bigger swing factor</w:t>
      </w:r>
      <w:r>
        <w:rPr>
          <w:rFonts w:ascii="Calibri" w:hAnsi="Calibri"/>
          <w:color w:val="525866"/>
          <w:sz w:val="22"/>
        </w:rPr>
        <w:t>; a beat here would be the primary upside driver.</w:t>
      </w:r>
    </w:p>
    <w:p>
      <w:pPr>
        <w:pStyle w:val="Heading3"/>
      </w:pPr>
      <w:r>
        <w:rPr>
          <w:rFonts w:ascii="Calibri" w:hAnsi="Calibri"/>
          <w:b/>
          <w:color w:val="3B4259"/>
          <w:sz w:val="24"/>
        </w:rPr>
        <w:t>Table 1 — Current Quarter Snapshot (Fiscal Q3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(Q2 2026)</w:t>
            </w:r>
          </w:p>
        </w:tc>
        <w:tc>
          <w:tcPr>
            <w:tcW w:type="dxa" w:w="1234"/>
            <w:shd w:val="clear" w:color="auto" w:fill="3B4259"/>
          </w:tcPr>
          <w:p>
            <w:r>
              <w:rPr>
                <w:rFonts w:ascii="Calibri" w:hAnsi="Calibri"/>
                <w:b/>
                <w:color w:val="FFFFFF"/>
                <w:sz w:val="22"/>
              </w:rPr>
              <w:t>Prior Year Period (Q3 2025 Actual)</w:t>
            </w:r>
          </w:p>
        </w:tc>
        <w:tc>
          <w:tcPr>
            <w:tcW w:type="dxa" w:w="1234"/>
            <w:shd w:val="clear" w:color="auto" w:fill="3B4259"/>
          </w:tcPr>
          <w:p>
            <w:r>
              <w:rPr>
                <w:rFonts w:ascii="Calibri" w:hAnsi="Calibri"/>
                <w:b/>
                <w:color w:val="FFFFFF"/>
                <w:sz w:val="22"/>
              </w:rPr>
              <w:t>Q3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Operating EPS (Diluted)</w:t>
            </w:r>
          </w:p>
        </w:tc>
        <w:tc>
          <w:tcPr>
            <w:tcW w:type="dxa" w:w="1234"/>
          </w:tcPr>
          <w:p>
            <w:r>
              <w:rPr>
                <w:rFonts w:ascii="Calibri" w:hAnsi="Calibri"/>
                <w:sz w:val="22"/>
              </w:rPr>
              <w:t>$3.47</w:t>
            </w:r>
          </w:p>
        </w:tc>
        <w:tc>
          <w:tcPr>
            <w:tcW w:type="dxa" w:w="1234"/>
          </w:tcPr>
          <w:p>
            <w:r>
              <w:rPr>
                <w:rFonts w:ascii="Calibri" w:hAnsi="Calibri"/>
                <w:sz w:val="22"/>
              </w:rPr>
              <w:t>$1.16</w:t>
            </w:r>
          </w:p>
        </w:tc>
        <w:tc>
          <w:tcPr>
            <w:tcW w:type="dxa" w:w="1234"/>
          </w:tcPr>
          <w:p>
            <w:r>
              <w:rPr>
                <w:rFonts w:ascii="Calibri" w:hAnsi="Calibri"/>
                <w:sz w:val="22"/>
              </w:rPr>
              <w:t>$1.02</w:t>
            </w:r>
          </w:p>
        </w:tc>
        <w:tc>
          <w:tcPr>
            <w:tcW w:type="dxa" w:w="1234"/>
          </w:tcPr>
          <w:p>
            <w:r>
              <w:rPr>
                <w:rFonts w:ascii="Calibri" w:hAnsi="Calibri"/>
                <w:b/>
                <w:color w:val="E5484D"/>
                <w:sz w:val="22"/>
              </w:rPr>
              <w:t>−12.1%</w:t>
            </w:r>
          </w:p>
        </w:tc>
        <w:tc>
          <w:tcPr>
            <w:tcW w:type="dxa" w:w="1234"/>
          </w:tcPr>
          <w:p>
            <w:r>
              <w:rPr>
                <w:rFonts w:ascii="Calibri" w:hAnsi="Calibri"/>
                <w:sz w:val="22"/>
              </w:rPr>
              <w:t>$8.40–$8.50 (FY)</w:t>
            </w:r>
          </w:p>
        </w:tc>
        <w:tc>
          <w:tcPr>
            <w:tcW w:type="dxa" w:w="1234"/>
          </w:tcPr>
          <w:p>
            <w:r>
              <w:rPr>
                <w:rFonts w:ascii="Calibri" w:hAnsi="Calibri"/>
                <w:sz w:val="22"/>
              </w:rPr>
              <w:t>FY cons. $8.45 vs. mid $8.45 ≈ 0%</w:t>
            </w:r>
          </w:p>
        </w:tc>
      </w:tr>
      <w:tr>
        <w:tc>
          <w:tcPr>
            <w:tcW w:type="dxa" w:w="1234"/>
          </w:tcPr>
          <w:p>
            <w:r>
              <w:rPr>
                <w:rFonts w:ascii="Calibri" w:hAnsi="Calibri"/>
                <w:sz w:val="22"/>
              </w:rPr>
              <w:t>Total Revenue</w:t>
            </w:r>
          </w:p>
        </w:tc>
        <w:tc>
          <w:tcPr>
            <w:tcW w:type="dxa" w:w="1234"/>
          </w:tcPr>
          <w:p>
            <w:r>
              <w:rPr>
                <w:rFonts w:ascii="Calibri" w:hAnsi="Calibri"/>
                <w:sz w:val="22"/>
              </w:rPr>
              <w:t>$1,962.4M</w:t>
            </w:r>
          </w:p>
        </w:tc>
        <w:tc>
          <w:tcPr>
            <w:tcW w:type="dxa" w:w="1234"/>
          </w:tcPr>
          <w:p>
            <w:r>
              <w:rPr>
                <w:rFonts w:ascii="Calibri" w:hAnsi="Calibri"/>
                <w:sz w:val="22"/>
              </w:rPr>
              <w:t>$838.8M</w:t>
            </w:r>
          </w:p>
        </w:tc>
        <w:tc>
          <w:tcPr>
            <w:tcW w:type="dxa" w:w="1234"/>
          </w:tcPr>
          <w:p>
            <w:r>
              <w:rPr>
                <w:rFonts w:ascii="Calibri" w:hAnsi="Calibri"/>
                <w:sz w:val="22"/>
              </w:rPr>
              <w:t>$902.2M</w:t>
            </w:r>
          </w:p>
        </w:tc>
        <w:tc>
          <w:tcPr>
            <w:tcW w:type="dxa" w:w="1234"/>
          </w:tcPr>
          <w:p>
            <w:r>
              <w:rPr>
                <w:rFonts w:ascii="Calibri" w:hAnsi="Calibri"/>
                <w:b/>
                <w:color w:val="30A46C"/>
                <w:sz w:val="22"/>
              </w:rPr>
              <w:t>+7.6%</w:t>
            </w:r>
          </w:p>
        </w:tc>
        <w:tc>
          <w:tcPr>
            <w:tcW w:type="dxa" w:w="1234"/>
          </w:tcPr>
          <w:p>
            <w:r>
              <w:rPr>
                <w:rFonts w:ascii="Calibri" w:hAnsi="Calibri"/>
                <w:sz w:val="22"/>
              </w:rPr>
              <w:t>N/A (no quarterly rev. guide)</w:t>
            </w:r>
          </w:p>
        </w:tc>
        <w:tc>
          <w:tcPr>
            <w:tcW w:type="dxa" w:w="1234"/>
          </w:tcPr>
          <w:p>
            <w:r>
              <w:rPr>
                <w:rFonts w:ascii="Calibri" w:hAnsi="Calibri"/>
                <w:sz w:val="22"/>
              </w:rPr>
              <w:t>N/A</w:t>
            </w:r>
          </w:p>
        </w:tc>
      </w:tr>
      <w:tr>
        <w:tc>
          <w:tcPr>
            <w:tcW w:type="dxa" w:w="1234"/>
          </w:tcPr>
          <w:p>
            <w:r>
              <w:rPr>
                <w:rFonts w:ascii="Calibri" w:hAnsi="Calibri"/>
                <w:sz w:val="22"/>
              </w:rPr>
              <w:t>Gross Profit</w:t>
            </w:r>
          </w:p>
        </w:tc>
        <w:tc>
          <w:tcPr>
            <w:tcW w:type="dxa" w:w="1234"/>
          </w:tcPr>
          <w:p>
            <w:r>
              <w:rPr>
                <w:rFonts w:ascii="Calibri" w:hAnsi="Calibri"/>
                <w:sz w:val="22"/>
              </w:rPr>
              <w:t>$1,295.1M</w:t>
            </w:r>
          </w:p>
        </w:tc>
        <w:tc>
          <w:tcPr>
            <w:tcW w:type="dxa" w:w="1234"/>
          </w:tcPr>
          <w:p>
            <w:r>
              <w:rPr>
                <w:rFonts w:ascii="Calibri" w:hAnsi="Calibri"/>
                <w:sz w:val="22"/>
              </w:rPr>
              <w:t>$784.9M</w:t>
            </w:r>
          </w:p>
        </w:tc>
        <w:tc>
          <w:tcPr>
            <w:tcW w:type="dxa" w:w="1234"/>
          </w:tcPr>
          <w:p>
            <w:r>
              <w:rPr>
                <w:rFonts w:ascii="Calibri" w:hAnsi="Calibri"/>
                <w:sz w:val="22"/>
              </w:rPr>
              <w:t>$801.4M</w:t>
            </w:r>
          </w:p>
        </w:tc>
        <w:tc>
          <w:tcPr>
            <w:tcW w:type="dxa" w:w="1234"/>
          </w:tcPr>
          <w:p>
            <w:r>
              <w:rPr>
                <w:rFonts w:ascii="Calibri" w:hAnsi="Calibri"/>
                <w:b/>
                <w:color w:val="30A46C"/>
                <w:sz w:val="22"/>
              </w:rPr>
              <w:t>+2.1%</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O&amp;M Expense</w:t>
            </w:r>
          </w:p>
        </w:tc>
        <w:tc>
          <w:tcPr>
            <w:tcW w:type="dxa" w:w="1234"/>
          </w:tcPr>
          <w:p>
            <w:r>
              <w:rPr>
                <w:rFonts w:ascii="Calibri" w:hAnsi="Calibri"/>
                <w:sz w:val="22"/>
              </w:rPr>
              <w:t>$195.8M</w:t>
            </w:r>
          </w:p>
        </w:tc>
        <w:tc>
          <w:tcPr>
            <w:tcW w:type="dxa" w:w="1234"/>
          </w:tcPr>
          <w:p>
            <w:r>
              <w:rPr>
                <w:rFonts w:ascii="Calibri" w:hAnsi="Calibri"/>
                <w:sz w:val="22"/>
              </w:rPr>
              <w:t>$222.1M</w:t>
            </w:r>
          </w:p>
        </w:tc>
        <w:tc>
          <w:tcPr>
            <w:tcW w:type="dxa" w:w="1234"/>
          </w:tcPr>
          <w:p>
            <w:r>
              <w:rPr>
                <w:rFonts w:ascii="Calibri" w:hAnsi="Calibri"/>
                <w:sz w:val="22"/>
              </w:rPr>
              <w:t>$215.7M</w:t>
            </w:r>
          </w:p>
        </w:tc>
        <w:tc>
          <w:tcPr>
            <w:tcW w:type="dxa" w:w="1234"/>
          </w:tcPr>
          <w:p>
            <w:r>
              <w:rPr>
                <w:rFonts w:ascii="Calibri" w:hAnsi="Calibri"/>
                <w:sz w:val="22"/>
              </w:rPr>
              <w:t>−3.0% YoY (favorable)</w:t>
            </w:r>
          </w:p>
        </w:tc>
        <w:tc>
          <w:tcPr>
            <w:tcW w:type="dxa" w:w="1234"/>
          </w:tcPr>
          <w:p>
            <w:r>
              <w:rPr>
                <w:rFonts w:ascii="Calibri" w:hAnsi="Calibri"/>
                <w:sz w:val="22"/>
              </w:rPr>
              <w:t>$865M–$885M (FY)</w:t>
            </w:r>
          </w:p>
        </w:tc>
        <w:tc>
          <w:tcPr>
            <w:tcW w:type="dxa" w:w="1234"/>
          </w:tcPr>
          <w:p>
            <w:r>
              <w:rPr>
                <w:rFonts w:ascii="Calibri" w:hAnsi="Calibri"/>
                <w:sz w:val="22"/>
              </w:rPr>
              <w:t>FY cons. $888.5M vs. mid $875M ≈ +1.5%</w:t>
            </w:r>
          </w:p>
        </w:tc>
      </w:tr>
      <w:tr>
        <w:tc>
          <w:tcPr>
            <w:tcW w:type="dxa" w:w="1234"/>
          </w:tcPr>
          <w:p>
            <w:r>
              <w:rPr>
                <w:rFonts w:ascii="Calibri" w:hAnsi="Calibri"/>
                <w:sz w:val="22"/>
              </w:rPr>
              <w:t>Capital Expenditures</w:t>
            </w:r>
          </w:p>
        </w:tc>
        <w:tc>
          <w:tcPr>
            <w:tcW w:type="dxa" w:w="1234"/>
          </w:tcPr>
          <w:p>
            <w:r>
              <w:rPr>
                <w:rFonts w:ascii="Calibri" w:hAnsi="Calibri"/>
                <w:sz w:val="22"/>
              </w:rPr>
              <w:t>$1,003.6M</w:t>
            </w:r>
          </w:p>
        </w:tc>
        <w:tc>
          <w:tcPr>
            <w:tcW w:type="dxa" w:w="1234"/>
          </w:tcPr>
          <w:p>
            <w:r>
              <w:rPr>
                <w:rFonts w:ascii="Calibri" w:hAnsi="Calibri"/>
                <w:sz w:val="22"/>
              </w:rPr>
              <w:t>$866.9M</w:t>
            </w:r>
          </w:p>
        </w:tc>
        <w:tc>
          <w:tcPr>
            <w:tcW w:type="dxa" w:w="1234"/>
          </w:tcPr>
          <w:p>
            <w:r>
              <w:rPr>
                <w:rFonts w:ascii="Calibri" w:hAnsi="Calibri"/>
                <w:sz w:val="22"/>
              </w:rPr>
              <w:t>$1,037.4M</w:t>
            </w:r>
          </w:p>
        </w:tc>
        <w:tc>
          <w:tcPr>
            <w:tcW w:type="dxa" w:w="1234"/>
          </w:tcPr>
          <w:p>
            <w:r>
              <w:rPr>
                <w:rFonts w:ascii="Calibri" w:hAnsi="Calibri"/>
                <w:b/>
                <w:color w:val="30A46C"/>
                <w:sz w:val="22"/>
              </w:rPr>
              <w:t>+19.7%</w:t>
            </w:r>
          </w:p>
        </w:tc>
        <w:tc>
          <w:tcPr>
            <w:tcW w:type="dxa" w:w="1234"/>
          </w:tcPr>
          <w:p>
            <w:r>
              <w:rPr>
                <w:rFonts w:ascii="Calibri" w:hAnsi="Calibri"/>
                <w:sz w:val="22"/>
              </w:rPr>
              <w:t>~$4.2B (FY)</w:t>
            </w:r>
          </w:p>
        </w:tc>
        <w:tc>
          <w:tcPr>
            <w:tcW w:type="dxa" w:w="1234"/>
          </w:tcPr>
          <w:p>
            <w:r>
              <w:rPr>
                <w:rFonts w:ascii="Calibri" w:hAnsi="Calibri"/>
                <w:sz w:val="22"/>
              </w:rPr>
              <w:t>FY cons. $4.17B vs. $4.2B ≈ −0.7%</w:t>
            </w:r>
          </w:p>
        </w:tc>
      </w:tr>
    </w:tbl>
    <w:p>
      <w:r>
        <w:rPr>
          <w:rFonts w:ascii="Calibri" w:hAnsi="Calibri"/>
          <w:i/>
          <w:color w:val="525866"/>
          <w:sz w:val="22"/>
        </w:rPr>
        <w:t>Source: Visible Alpha Consensus and Actuals Data. All figures in USD. Operating EPS is the primary valuation KPI; CapEx is the key capital deployment metric. Q3 is ATO’s seasonally weakest quarter (summer trough for gas utilities). O&amp;M guidance range reflects Rule 77-102 deferral reclassification impact.</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Operating EPS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2024</w:t>
            </w:r>
          </w:p>
        </w:tc>
        <w:tc>
          <w:tcPr>
            <w:tcW w:type="dxa" w:w="1728"/>
          </w:tcPr>
          <w:p>
            <w:r>
              <w:rPr>
                <w:rFonts w:ascii="Calibri" w:hAnsi="Calibri"/>
                <w:sz w:val="22"/>
              </w:rPr>
              <w:t>$1.08</w:t>
            </w:r>
          </w:p>
        </w:tc>
        <w:tc>
          <w:tcPr>
            <w:tcW w:type="dxa" w:w="1728"/>
          </w:tcPr>
          <w:p>
            <w:r>
              <w:rPr>
                <w:rFonts w:ascii="Calibri" w:hAnsi="Calibri"/>
                <w:sz w:val="22"/>
              </w:rPr>
              <w:t>$1.07</w:t>
            </w:r>
          </w:p>
        </w:tc>
        <w:tc>
          <w:tcPr>
            <w:tcW w:type="dxa" w:w="1728"/>
          </w:tcPr>
          <w:p>
            <w:r>
              <w:rPr>
                <w:rFonts w:ascii="Calibri" w:hAnsi="Calibri"/>
                <w:sz w:val="22"/>
              </w:rPr>
              <w:t>+1.2%</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$0.86</w:t>
            </w:r>
          </w:p>
        </w:tc>
        <w:tc>
          <w:tcPr>
            <w:tcW w:type="dxa" w:w="1728"/>
          </w:tcPr>
          <w:p>
            <w:r>
              <w:rPr>
                <w:rFonts w:ascii="Calibri" w:hAnsi="Calibri"/>
                <w:sz w:val="22"/>
              </w:rPr>
              <w:t>$0.82</w:t>
            </w:r>
          </w:p>
        </w:tc>
        <w:tc>
          <w:tcPr>
            <w:tcW w:type="dxa" w:w="1728"/>
          </w:tcPr>
          <w:p>
            <w:r>
              <w:rPr>
                <w:rFonts w:ascii="Calibri" w:hAnsi="Calibri"/>
                <w:sz w:val="22"/>
              </w:rPr>
              <w:t>+5.2%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$2.23</w:t>
            </w:r>
          </w:p>
        </w:tc>
        <w:tc>
          <w:tcPr>
            <w:tcW w:type="dxa" w:w="1728"/>
          </w:tcPr>
          <w:p>
            <w:r>
              <w:rPr>
                <w:rFonts w:ascii="Calibri" w:hAnsi="Calibri"/>
                <w:sz w:val="22"/>
              </w:rPr>
              <w:t>$2.20</w:t>
            </w:r>
          </w:p>
        </w:tc>
        <w:tc>
          <w:tcPr>
            <w:tcW w:type="dxa" w:w="1728"/>
          </w:tcPr>
          <w:p>
            <w:r>
              <w:rPr>
                <w:rFonts w:ascii="Calibri" w:hAnsi="Calibri"/>
                <w:sz w:val="22"/>
              </w:rPr>
              <w:t>+1.3%</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$3.03</w:t>
            </w:r>
          </w:p>
        </w:tc>
        <w:tc>
          <w:tcPr>
            <w:tcW w:type="dxa" w:w="1728"/>
          </w:tcPr>
          <w:p>
            <w:r>
              <w:rPr>
                <w:rFonts w:ascii="Calibri" w:hAnsi="Calibri"/>
                <w:sz w:val="22"/>
              </w:rPr>
              <w:t>$2.79</w:t>
            </w:r>
          </w:p>
        </w:tc>
        <w:tc>
          <w:tcPr>
            <w:tcW w:type="dxa" w:w="1728"/>
          </w:tcPr>
          <w:p>
            <w:r>
              <w:rPr>
                <w:rFonts w:ascii="Calibri" w:hAnsi="Calibri"/>
                <w:sz w:val="22"/>
              </w:rPr>
              <w:t>+8.5%</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$1.16</w:t>
            </w:r>
          </w:p>
        </w:tc>
        <w:tc>
          <w:tcPr>
            <w:tcW w:type="dxa" w:w="1728"/>
          </w:tcPr>
          <w:p>
            <w:r>
              <w:rPr>
                <w:rFonts w:ascii="Calibri" w:hAnsi="Calibri"/>
                <w:sz w:val="22"/>
              </w:rPr>
              <w:t>$1.17</w:t>
            </w:r>
          </w:p>
        </w:tc>
        <w:tc>
          <w:tcPr>
            <w:tcW w:type="dxa" w:w="1728"/>
          </w:tcPr>
          <w:p>
            <w:r>
              <w:rPr>
                <w:rFonts w:ascii="Calibri" w:hAnsi="Calibri"/>
                <w:sz w:val="22"/>
              </w:rPr>
              <w:t>−0.9%</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$1.07</w:t>
            </w:r>
          </w:p>
        </w:tc>
        <w:tc>
          <w:tcPr>
            <w:tcW w:type="dxa" w:w="1728"/>
          </w:tcPr>
          <w:p>
            <w:r>
              <w:rPr>
                <w:rFonts w:ascii="Calibri" w:hAnsi="Calibri"/>
                <w:sz w:val="22"/>
              </w:rPr>
              <w:t>$0.96</w:t>
            </w:r>
          </w:p>
        </w:tc>
        <w:tc>
          <w:tcPr>
            <w:tcW w:type="dxa" w:w="1728"/>
          </w:tcPr>
          <w:p>
            <w:r>
              <w:rPr>
                <w:rFonts w:ascii="Calibri" w:hAnsi="Calibri"/>
                <w:sz w:val="22"/>
              </w:rPr>
              <w:t>+11.6%</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$2.44</w:t>
            </w:r>
          </w:p>
        </w:tc>
        <w:tc>
          <w:tcPr>
            <w:tcW w:type="dxa" w:w="1728"/>
          </w:tcPr>
          <w:p>
            <w:r>
              <w:rPr>
                <w:rFonts w:ascii="Calibri" w:hAnsi="Calibri"/>
                <w:sz w:val="22"/>
              </w:rPr>
              <w:t>$2.40</w:t>
            </w:r>
          </w:p>
        </w:tc>
        <w:tc>
          <w:tcPr>
            <w:tcW w:type="dxa" w:w="1728"/>
          </w:tcPr>
          <w:p>
            <w:r>
              <w:rPr>
                <w:rFonts w:ascii="Calibri" w:hAnsi="Calibri"/>
                <w:sz w:val="22"/>
              </w:rPr>
              <w:t>+1.7%</w:t>
            </w:r>
          </w:p>
        </w:tc>
        <w:tc>
          <w:tcPr>
            <w:tcW w:type="dxa" w:w="1728"/>
          </w:tcPr>
          <w:p>
            <w:r>
              <w:rPr>
                <w:rFonts w:ascii="Calibri" w:hAnsi="Calibri"/>
                <w:b/>
                <w:color w:val="30A46C"/>
                <w:sz w:val="22"/>
              </w:rPr>
              <w:t>Beat</w:t>
            </w:r>
          </w:p>
        </w:tc>
      </w:tr>
      <w:tr>
        <w:tc>
          <w:tcPr>
            <w:tcW w:type="dxa" w:w="1728"/>
          </w:tcPr>
          <w:p>
            <w:r>
              <w:rPr>
                <w:rFonts w:ascii="Calibri" w:hAnsi="Calibri"/>
                <w:sz w:val="22"/>
              </w:rPr>
              <w:t>Q2 2026</w:t>
            </w:r>
          </w:p>
        </w:tc>
        <w:tc>
          <w:tcPr>
            <w:tcW w:type="dxa" w:w="1728"/>
          </w:tcPr>
          <w:p>
            <w:r>
              <w:rPr>
                <w:rFonts w:ascii="Calibri" w:hAnsi="Calibri"/>
                <w:sz w:val="22"/>
              </w:rPr>
              <w:t>$3.47</w:t>
            </w:r>
          </w:p>
        </w:tc>
        <w:tc>
          <w:tcPr>
            <w:tcW w:type="dxa" w:w="1728"/>
          </w:tcPr>
          <w:p>
            <w:r>
              <w:rPr>
                <w:rFonts w:ascii="Calibri" w:hAnsi="Calibri"/>
                <w:sz w:val="22"/>
              </w:rPr>
              <w:t>$3.49</w:t>
            </w:r>
          </w:p>
        </w:tc>
        <w:tc>
          <w:tcPr>
            <w:tcW w:type="dxa" w:w="1728"/>
          </w:tcPr>
          <w:p>
            <w:r>
              <w:rPr>
                <w:rFonts w:ascii="Calibri" w:hAnsi="Calibri"/>
                <w:sz w:val="22"/>
              </w:rPr>
              <w:t>−0.6%</w:t>
            </w:r>
          </w:p>
        </w:tc>
        <w:tc>
          <w:tcPr>
            <w:tcW w:type="dxa" w:w="1728"/>
          </w:tcPr>
          <w:p>
            <w:r>
              <w:rPr>
                <w:rFonts w:ascii="Calibri" w:hAnsi="Calibri"/>
                <w:b/>
                <w:color w:val="E5484D"/>
                <w:sz w:val="22"/>
              </w:rPr>
              <w:t>Inline/Miss</w:t>
            </w:r>
          </w:p>
        </w:tc>
      </w:tr>
    </w:tbl>
    <w:p>
      <w:pPr>
        <w:pStyle w:val="Heading4"/>
      </w:pPr>
      <w:r>
        <w:rPr>
          <w:rFonts w:ascii="Calibri" w:hAnsi="Calibri"/>
          <w:b/>
          <w:color w:val="3B4259"/>
          <w:sz w:val="22"/>
        </w:rPr>
        <w:t>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2024</w:t>
            </w:r>
          </w:p>
        </w:tc>
        <w:tc>
          <w:tcPr>
            <w:tcW w:type="dxa" w:w="1728"/>
          </w:tcPr>
          <w:p>
            <w:r>
              <w:rPr>
                <w:rFonts w:ascii="Calibri" w:hAnsi="Calibri"/>
                <w:sz w:val="22"/>
              </w:rPr>
              <w:t>$701.5</w:t>
            </w:r>
          </w:p>
        </w:tc>
        <w:tc>
          <w:tcPr>
            <w:tcW w:type="dxa" w:w="1728"/>
          </w:tcPr>
          <w:p>
            <w:r>
              <w:rPr>
                <w:rFonts w:ascii="Calibri" w:hAnsi="Calibri"/>
                <w:sz w:val="22"/>
              </w:rPr>
              <w:t>$814.8</w:t>
            </w:r>
          </w:p>
        </w:tc>
        <w:tc>
          <w:tcPr>
            <w:tcW w:type="dxa" w:w="1728"/>
          </w:tcPr>
          <w:p>
            <w:r>
              <w:rPr>
                <w:rFonts w:ascii="Calibri" w:hAnsi="Calibri"/>
                <w:sz w:val="22"/>
              </w:rPr>
              <w:t>−13.9%</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$657.9</w:t>
            </w:r>
          </w:p>
        </w:tc>
        <w:tc>
          <w:tcPr>
            <w:tcW w:type="dxa" w:w="1728"/>
          </w:tcPr>
          <w:p>
            <w:r>
              <w:rPr>
                <w:rFonts w:ascii="Calibri" w:hAnsi="Calibri"/>
                <w:sz w:val="22"/>
              </w:rPr>
              <w:t>$881.3</w:t>
            </w:r>
          </w:p>
        </w:tc>
        <w:tc>
          <w:tcPr>
            <w:tcW w:type="dxa" w:w="1728"/>
          </w:tcPr>
          <w:p>
            <w:r>
              <w:rPr>
                <w:rFonts w:ascii="Calibri" w:hAnsi="Calibri"/>
                <w:sz w:val="22"/>
              </w:rPr>
              <w:t>−25.4%</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$1,176.0</w:t>
            </w:r>
          </w:p>
        </w:tc>
        <w:tc>
          <w:tcPr>
            <w:tcW w:type="dxa" w:w="1728"/>
          </w:tcPr>
          <w:p>
            <w:r>
              <w:rPr>
                <w:rFonts w:ascii="Calibri" w:hAnsi="Calibri"/>
                <w:sz w:val="22"/>
              </w:rPr>
              <w:t>$1,365.3</w:t>
            </w:r>
          </w:p>
        </w:tc>
        <w:tc>
          <w:tcPr>
            <w:tcW w:type="dxa" w:w="1728"/>
          </w:tcPr>
          <w:p>
            <w:r>
              <w:rPr>
                <w:rFonts w:ascii="Calibri" w:hAnsi="Calibri"/>
                <w:sz w:val="22"/>
              </w:rPr>
              <w:t>−13.9%</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$1,950.5</w:t>
            </w:r>
          </w:p>
        </w:tc>
        <w:tc>
          <w:tcPr>
            <w:tcW w:type="dxa" w:w="1728"/>
          </w:tcPr>
          <w:p>
            <w:r>
              <w:rPr>
                <w:rFonts w:ascii="Calibri" w:hAnsi="Calibri"/>
                <w:sz w:val="22"/>
              </w:rPr>
              <w:t>$1,600.4</w:t>
            </w:r>
          </w:p>
        </w:tc>
        <w:tc>
          <w:tcPr>
            <w:tcW w:type="dxa" w:w="1728"/>
          </w:tcPr>
          <w:p>
            <w:r>
              <w:rPr>
                <w:rFonts w:ascii="Calibri" w:hAnsi="Calibri"/>
                <w:sz w:val="22"/>
              </w:rPr>
              <w:t>+21.9%</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$838.8</w:t>
            </w:r>
          </w:p>
        </w:tc>
        <w:tc>
          <w:tcPr>
            <w:tcW w:type="dxa" w:w="1728"/>
          </w:tcPr>
          <w:p>
            <w:r>
              <w:rPr>
                <w:rFonts w:ascii="Calibri" w:hAnsi="Calibri"/>
                <w:sz w:val="22"/>
              </w:rPr>
              <w:t>$849.5</w:t>
            </w:r>
          </w:p>
        </w:tc>
        <w:tc>
          <w:tcPr>
            <w:tcW w:type="dxa" w:w="1728"/>
          </w:tcPr>
          <w:p>
            <w:r>
              <w:rPr>
                <w:rFonts w:ascii="Calibri" w:hAnsi="Calibri"/>
                <w:sz w:val="22"/>
              </w:rPr>
              <w:t>−1.3%</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$737.5</w:t>
            </w:r>
          </w:p>
        </w:tc>
        <w:tc>
          <w:tcPr>
            <w:tcW w:type="dxa" w:w="1728"/>
          </w:tcPr>
          <w:p>
            <w:r>
              <w:rPr>
                <w:rFonts w:ascii="Calibri" w:hAnsi="Calibri"/>
                <w:sz w:val="22"/>
              </w:rPr>
              <w:t>$797.7</w:t>
            </w:r>
          </w:p>
        </w:tc>
        <w:tc>
          <w:tcPr>
            <w:tcW w:type="dxa" w:w="1728"/>
          </w:tcPr>
          <w:p>
            <w:r>
              <w:rPr>
                <w:rFonts w:ascii="Calibri" w:hAnsi="Calibri"/>
                <w:sz w:val="22"/>
              </w:rPr>
              <w:t>−7.6%</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$1,342.6</w:t>
            </w:r>
          </w:p>
        </w:tc>
        <w:tc>
          <w:tcPr>
            <w:tcW w:type="dxa" w:w="1728"/>
          </w:tcPr>
          <w:p>
            <w:r>
              <w:rPr>
                <w:rFonts w:ascii="Calibri" w:hAnsi="Calibri"/>
                <w:sz w:val="22"/>
              </w:rPr>
              <w:t>$1,248.6</w:t>
            </w:r>
          </w:p>
        </w:tc>
        <w:tc>
          <w:tcPr>
            <w:tcW w:type="dxa" w:w="1728"/>
          </w:tcPr>
          <w:p>
            <w:r>
              <w:rPr>
                <w:rFonts w:ascii="Calibri" w:hAnsi="Calibri"/>
                <w:sz w:val="22"/>
              </w:rPr>
              <w:t>+7.5%</w:t>
            </w:r>
          </w:p>
        </w:tc>
        <w:tc>
          <w:tcPr>
            <w:tcW w:type="dxa" w:w="1728"/>
          </w:tcPr>
          <w:p>
            <w:r>
              <w:rPr>
                <w:rFonts w:ascii="Calibri" w:hAnsi="Calibri"/>
                <w:b/>
                <w:color w:val="30A46C"/>
                <w:sz w:val="22"/>
              </w:rPr>
              <w:t>Beat</w:t>
            </w:r>
          </w:p>
        </w:tc>
      </w:tr>
      <w:tr>
        <w:tc>
          <w:tcPr>
            <w:tcW w:type="dxa" w:w="1728"/>
          </w:tcPr>
          <w:p>
            <w:r>
              <w:rPr>
                <w:rFonts w:ascii="Calibri" w:hAnsi="Calibri"/>
                <w:sz w:val="22"/>
              </w:rPr>
              <w:t>Q2 2026</w:t>
            </w:r>
          </w:p>
        </w:tc>
        <w:tc>
          <w:tcPr>
            <w:tcW w:type="dxa" w:w="1728"/>
          </w:tcPr>
          <w:p>
            <w:r>
              <w:rPr>
                <w:rFonts w:ascii="Calibri" w:hAnsi="Calibri"/>
                <w:sz w:val="22"/>
              </w:rPr>
              <w:t>$1,962.4</w:t>
            </w:r>
          </w:p>
        </w:tc>
        <w:tc>
          <w:tcPr>
            <w:tcW w:type="dxa" w:w="1728"/>
          </w:tcPr>
          <w:p>
            <w:r>
              <w:rPr>
                <w:rFonts w:ascii="Calibri" w:hAnsi="Calibri"/>
                <w:sz w:val="22"/>
              </w:rPr>
              <w:t>$1,938.3</w:t>
            </w:r>
          </w:p>
        </w:tc>
        <w:tc>
          <w:tcPr>
            <w:tcW w:type="dxa" w:w="1728"/>
          </w:tcPr>
          <w:p>
            <w:r>
              <w:rPr>
                <w:rFonts w:ascii="Calibri" w:hAnsi="Calibri"/>
                <w:sz w:val="22"/>
              </w:rPr>
              <w:t>+1.2%</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ATO has beaten operating EPS consensus in 6 of the last 8 quarters, with the two misses being very small (−0.6% and −0.9%). Revenue is a less reliable signal — ATO has missed revenue consensus in 5 of 8 quarters, largely because purchased gas cost pass-throughs distort the top line; gross profit and EPS are the metrics that matter.</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ATO raised its FY2026 EPS guidance range from $8.15–$8.35 to $8.40–$8.50 at the Q2 2026 earnings call (May 6, 2026), driven by stronger-than-expected Waha spreads and a higher-than-planned Rule 77-102 benefit. </w:t>
      </w:r>
      <w:r>
        <w:rPr>
          <w:rFonts w:ascii="Calibri" w:hAnsi="Calibri"/>
          <w:b/>
          <w:color w:val="525866"/>
          <w:sz w:val="22"/>
        </w:rPr>
        <w:t>No further guidance changes have been announced since the Q2 call</w:t>
      </w:r>
      <w:r>
        <w:rPr>
          <w:rFonts w:ascii="Calibri" w:hAnsi="Calibri"/>
          <w:color w:val="525866"/>
          <w:sz w:val="22"/>
        </w:rPr>
        <w:t>; all other metrics (CapEx, O&amp;M) remain unchanged.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Call, Nov 6, 2025)</w:t>
            </w:r>
          </w:p>
        </w:tc>
        <w:tc>
          <w:tcPr>
            <w:tcW w:type="dxa" w:w="1728"/>
            <w:shd w:val="clear" w:color="auto" w:fill="3B4259"/>
          </w:tcPr>
          <w:p>
            <w:r>
              <w:rPr>
                <w:rFonts w:ascii="Calibri" w:hAnsi="Calibri"/>
                <w:b/>
                <w:color w:val="FFFFFF"/>
                <w:sz w:val="22"/>
              </w:rPr>
              <w:t>Revised Guidance (Q2 2026 Earnings Call, May 6, 2026)</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Operating EPS</w:t>
            </w:r>
          </w:p>
        </w:tc>
        <w:tc>
          <w:tcPr>
            <w:tcW w:type="dxa" w:w="1728"/>
          </w:tcPr>
          <w:p>
            <w:r>
              <w:rPr>
                <w:rFonts w:ascii="Calibri" w:hAnsi="Calibri"/>
                <w:sz w:val="22"/>
              </w:rPr>
              <w:t>$8.15 – $8.35</w:t>
            </w:r>
          </w:p>
        </w:tc>
        <w:tc>
          <w:tcPr>
            <w:tcW w:type="dxa" w:w="1728"/>
          </w:tcPr>
          <w:p>
            <w:r>
              <w:rPr>
                <w:rFonts w:ascii="Calibri" w:hAnsi="Calibri"/>
                <w:b/>
                <w:color w:val="30A46C"/>
                <w:sz w:val="22"/>
              </w:rPr>
              <w:t>$8.40 – $8.50</w:t>
            </w:r>
          </w:p>
        </w:tc>
        <w:tc>
          <w:tcPr>
            <w:tcW w:type="dxa" w:w="1728"/>
          </w:tcPr>
          <w:p>
            <w:r>
              <w:rPr>
                <w:rFonts w:ascii="Calibri" w:hAnsi="Calibri"/>
                <w:sz w:val="22"/>
              </w:rPr>
              <w:t>~$8.45</w:t>
            </w:r>
          </w:p>
        </w:tc>
        <w:tc>
          <w:tcPr>
            <w:tcW w:type="dxa" w:w="1728"/>
          </w:tcPr>
          <w:p>
            <w:r>
              <w:rPr>
                <w:rFonts w:ascii="Calibri" w:hAnsi="Calibri"/>
                <w:sz w:val="22"/>
              </w:rPr>
              <w:t>↑ Raised at Q2 2026 earnings (May 6, 2026); driven by APT Waha spread outperformance and higher Rule 77-102 benefit; management confirmed new range is clean launchpad for 6–8% FY2027 growth</w:t>
            </w:r>
          </w:p>
        </w:tc>
      </w:tr>
      <w:tr>
        <w:tc>
          <w:tcPr>
            <w:tcW w:type="dxa" w:w="1728"/>
          </w:tcPr>
          <w:p>
            <w:r>
              <w:rPr>
                <w:rFonts w:ascii="Calibri" w:hAnsi="Calibri"/>
                <w:sz w:val="22"/>
              </w:rPr>
              <w:t>FY2026 Capital Expenditures</w:t>
            </w:r>
          </w:p>
        </w:tc>
        <w:tc>
          <w:tcPr>
            <w:tcW w:type="dxa" w:w="1728"/>
          </w:tcPr>
          <w:p>
            <w:r>
              <w:rPr>
                <w:rFonts w:ascii="Calibri" w:hAnsi="Calibri"/>
                <w:sz w:val="22"/>
              </w:rPr>
              <w:t>~$4.2 billion</w:t>
            </w:r>
          </w:p>
        </w:tc>
        <w:tc>
          <w:tcPr>
            <w:tcW w:type="dxa" w:w="1728"/>
          </w:tcPr>
          <w:p>
            <w:r>
              <w:rPr>
                <w:rFonts w:ascii="Calibri" w:hAnsi="Calibri"/>
                <w:sz w:val="22"/>
              </w:rPr>
              <w:t>Unchanged</w:t>
            </w:r>
          </w:p>
        </w:tc>
        <w:tc>
          <w:tcPr>
            <w:tcW w:type="dxa" w:w="1728"/>
          </w:tcPr>
          <w:p>
            <w:r>
              <w:rPr>
                <w:rFonts w:ascii="Calibri" w:hAnsi="Calibri"/>
                <w:sz w:val="22"/>
              </w:rPr>
              <w:t>~$4.17B</w:t>
            </w:r>
          </w:p>
        </w:tc>
        <w:tc>
          <w:tcPr>
            <w:tcW w:type="dxa" w:w="1728"/>
          </w:tcPr>
          <w:p>
            <w:r>
              <w:rPr>
                <w:rFonts w:ascii="Calibri" w:hAnsi="Calibri"/>
                <w:sz w:val="22"/>
              </w:rPr>
              <w:t>No change; on track per Q2 update; H1 actuals of $2.0B imply ~$2.2B needed in H2</w:t>
            </w:r>
          </w:p>
        </w:tc>
      </w:tr>
      <w:tr>
        <w:tc>
          <w:tcPr>
            <w:tcW w:type="dxa" w:w="1728"/>
          </w:tcPr>
          <w:p>
            <w:r>
              <w:rPr>
                <w:rFonts w:ascii="Calibri" w:hAnsi="Calibri"/>
                <w:sz w:val="22"/>
              </w:rPr>
              <w:t>FY2026 O&amp;M Expense</w:t>
            </w:r>
          </w:p>
        </w:tc>
        <w:tc>
          <w:tcPr>
            <w:tcW w:type="dxa" w:w="1728"/>
          </w:tcPr>
          <w:p>
            <w:r>
              <w:rPr>
                <w:rFonts w:ascii="Calibri" w:hAnsi="Calibri"/>
                <w:sz w:val="22"/>
              </w:rPr>
              <w:t>$865M – $885M</w:t>
            </w:r>
          </w:p>
        </w:tc>
        <w:tc>
          <w:tcPr>
            <w:tcW w:type="dxa" w:w="1728"/>
          </w:tcPr>
          <w:p>
            <w:r>
              <w:rPr>
                <w:rFonts w:ascii="Calibri" w:hAnsi="Calibri"/>
                <w:sz w:val="22"/>
              </w:rPr>
              <w:t>Unchanged ($865M–$885M, now reflects Rule 77-102 deferrals)</w:t>
            </w:r>
          </w:p>
        </w:tc>
        <w:tc>
          <w:tcPr>
            <w:tcW w:type="dxa" w:w="1728"/>
          </w:tcPr>
          <w:p>
            <w:r>
              <w:rPr>
                <w:rFonts w:ascii="Calibri" w:hAnsi="Calibri"/>
                <w:sz w:val="22"/>
              </w:rPr>
              <w:t>~$888.5M</w:t>
            </w:r>
          </w:p>
        </w:tc>
        <w:tc>
          <w:tcPr>
            <w:tcW w:type="dxa" w:w="1728"/>
          </w:tcPr>
          <w:p>
            <w:r>
              <w:rPr>
                <w:rFonts w:ascii="Calibri" w:hAnsi="Calibri"/>
                <w:sz w:val="22"/>
              </w:rPr>
              <w:t>Range reaffirmed but now incorporates Rule 77-102 reclassification reducing reported O&amp;M by ~$41M in H1; consensus slightly above top of range</w:t>
            </w:r>
          </w:p>
        </w:tc>
      </w:tr>
      <w:tr>
        <w:tc>
          <w:tcPr>
            <w:tcW w:type="dxa" w:w="1728"/>
          </w:tcPr>
          <w:p>
            <w:r>
              <w:rPr>
                <w:rFonts w:ascii="Calibri" w:hAnsi="Calibri"/>
                <w:sz w:val="22"/>
              </w:rPr>
              <w:t>FY2026 Interest Expense</w:t>
            </w:r>
          </w:p>
        </w:tc>
        <w:tc>
          <w:tcPr>
            <w:tcW w:type="dxa" w:w="1728"/>
          </w:tcPr>
          <w:p>
            <w:r>
              <w:rPr>
                <w:rFonts w:ascii="Calibri" w:hAnsi="Calibri"/>
                <w:sz w:val="22"/>
              </w:rPr>
              <w:t>Not provided separately</w:t>
            </w:r>
          </w:p>
        </w:tc>
        <w:tc>
          <w:tcPr>
            <w:tcW w:type="dxa" w:w="1728"/>
          </w:tcPr>
          <w:p>
            <w:r>
              <w:rPr>
                <w:rFonts w:ascii="Calibri" w:hAnsi="Calibri"/>
                <w:b/>
                <w:color w:val="002FA7"/>
                <w:sz w:val="22"/>
              </w:rPr>
              <w:t>$155M – $160M (new range introduced)</w:t>
            </w:r>
          </w:p>
        </w:tc>
        <w:tc>
          <w:tcPr>
            <w:tcW w:type="dxa" w:w="1728"/>
          </w:tcPr>
          <w:p>
            <w:r>
              <w:rPr>
                <w:rFonts w:ascii="Calibri" w:hAnsi="Calibri"/>
                <w:sz w:val="22"/>
              </w:rPr>
              <w:t>N/A</w:t>
            </w:r>
          </w:p>
        </w:tc>
        <w:tc>
          <w:tcPr>
            <w:tcW w:type="dxa" w:w="1728"/>
          </w:tcPr>
          <w:p>
            <w:r>
              <w:rPr>
                <w:rFonts w:ascii="Calibri" w:hAnsi="Calibri"/>
                <w:sz w:val="22"/>
              </w:rPr>
              <w:t>New range introduced at Q2 2026 call solely due to Rule 77-102 reclassification of post-in-service carrying cost deferrals from interest into O&amp;M; no net earnings impact</w:t>
            </w:r>
          </w:p>
        </w:tc>
      </w:tr>
      <w:tr>
        <w:tc>
          <w:tcPr>
            <w:tcW w:type="dxa" w:w="1728"/>
          </w:tcPr>
          <w:p>
            <w:r>
              <w:rPr>
                <w:rFonts w:ascii="Calibri" w:hAnsi="Calibri"/>
                <w:sz w:val="22"/>
              </w:rPr>
              <w:t>APT Through-System H2 Contribution</w:t>
            </w:r>
          </w:p>
        </w:tc>
        <w:tc>
          <w:tcPr>
            <w:tcW w:type="dxa" w:w="1728"/>
          </w:tcPr>
          <w:p>
            <w:r>
              <w:rPr>
                <w:rFonts w:ascii="Calibri" w:hAnsi="Calibri"/>
                <w:sz w:val="22"/>
              </w:rPr>
              <w:t>Not guided (assumed normal activity)</w:t>
            </w:r>
          </w:p>
        </w:tc>
        <w:tc>
          <w:tcPr>
            <w:tcW w:type="dxa" w:w="1728"/>
          </w:tcPr>
          <w:p>
            <w:r>
              <w:rPr>
                <w:rFonts w:ascii="Calibri" w:hAnsi="Calibri"/>
                <w:b/>
                <w:color w:val="002FA7"/>
                <w:sz w:val="22"/>
              </w:rPr>
              <w:t>$0.08 – $0.12 incremental EPS in H2 FY2026</w:t>
            </w:r>
          </w:p>
        </w:tc>
        <w:tc>
          <w:tcPr>
            <w:tcW w:type="dxa" w:w="1728"/>
          </w:tcPr>
          <w:p>
            <w:r>
              <w:rPr>
                <w:rFonts w:ascii="Calibri" w:hAnsi="Calibri"/>
                <w:sz w:val="22"/>
              </w:rPr>
              <w:t>Embedded in FY cons.</w:t>
            </w:r>
          </w:p>
        </w:tc>
        <w:tc>
          <w:tcPr>
            <w:tcW w:type="dxa" w:w="1728"/>
          </w:tcPr>
          <w:p>
            <w:r>
              <w:rPr>
                <w:rFonts w:ascii="Calibri" w:hAnsi="Calibri"/>
                <w:sz w:val="22"/>
              </w:rPr>
              <w:t>New guidance introduced at Q2 2026 call; reflects Waha spread environment; management cautious on sustainability into FY2027</w:t>
            </w:r>
          </w:p>
        </w:tc>
      </w:tr>
      <w:tr>
        <w:tc>
          <w:tcPr>
            <w:tcW w:type="dxa" w:w="1728"/>
          </w:tcPr>
          <w:p>
            <w:r>
              <w:rPr>
                <w:rFonts w:ascii="Calibri" w:hAnsi="Calibri"/>
                <w:sz w:val="22"/>
              </w:rPr>
              <w:t>Rule 77-102 Full-Year Impact</w:t>
            </w:r>
          </w:p>
        </w:tc>
        <w:tc>
          <w:tcPr>
            <w:tcW w:type="dxa" w:w="1728"/>
          </w:tcPr>
          <w:p>
            <w:r>
              <w:rPr>
                <w:rFonts w:ascii="Calibri" w:hAnsi="Calibri"/>
                <w:sz w:val="22"/>
              </w:rPr>
              <w:t>Not quantified at Q4 2025 call</w:t>
            </w:r>
          </w:p>
        </w:tc>
        <w:tc>
          <w:tcPr>
            <w:tcW w:type="dxa" w:w="1728"/>
          </w:tcPr>
          <w:p>
            <w:r>
              <w:rPr>
                <w:rFonts w:ascii="Calibri" w:hAnsi="Calibri"/>
                <w:b/>
                <w:color w:val="002FA7"/>
                <w:sz w:val="22"/>
              </w:rPr>
              <w:t>$155M – $165M pretax (full year)</w:t>
            </w:r>
          </w:p>
        </w:tc>
        <w:tc>
          <w:tcPr>
            <w:tcW w:type="dxa" w:w="1728"/>
          </w:tcPr>
          <w:p>
            <w:r>
              <w:rPr>
                <w:rFonts w:ascii="Calibri" w:hAnsi="Calibri"/>
                <w:sz w:val="22"/>
              </w:rPr>
              <w:t>N/A</w:t>
            </w:r>
          </w:p>
        </w:tc>
        <w:tc>
          <w:tcPr>
            <w:tcW w:type="dxa" w:w="1728"/>
          </w:tcPr>
          <w:p>
            <w:r>
              <w:rPr>
                <w:rFonts w:ascii="Calibri" w:hAnsi="Calibri"/>
                <w:sz w:val="22"/>
              </w:rPr>
              <w:t>Higher than originally planned; final rulemaking codified HB 4384 into Rule 77-102 during Q2; presentation change only, no net earnings impact</w:t>
            </w:r>
          </w:p>
        </w:tc>
      </w:tr>
      <w:tr>
        <w:tc>
          <w:tcPr>
            <w:tcW w:type="dxa" w:w="1728"/>
          </w:tcPr>
          <w:p>
            <w:r>
              <w:rPr>
                <w:rFonts w:ascii="Calibri" w:hAnsi="Calibri"/>
                <w:sz w:val="22"/>
              </w:rPr>
              <w:t>Long-Term EPS Growth Target</w:t>
            </w:r>
          </w:p>
        </w:tc>
        <w:tc>
          <w:tcPr>
            <w:tcW w:type="dxa" w:w="1728"/>
          </w:tcPr>
          <w:p>
            <w:r>
              <w:rPr>
                <w:rFonts w:ascii="Calibri" w:hAnsi="Calibri"/>
                <w:sz w:val="22"/>
              </w:rPr>
              <w:t>6–8% annually from FY2026 midpoint</w:t>
            </w:r>
          </w:p>
        </w:tc>
        <w:tc>
          <w:tcPr>
            <w:tcW w:type="dxa" w:w="1728"/>
          </w:tcPr>
          <w:p>
            <w:r>
              <w:rPr>
                <w:rFonts w:ascii="Calibri" w:hAnsi="Calibri"/>
                <w:sz w:val="22"/>
              </w:rPr>
              <w:t>Unchanged; new $8.40–$8.50 range confirmed as clean base</w:t>
            </w:r>
          </w:p>
        </w:tc>
        <w:tc>
          <w:tcPr>
            <w:tcW w:type="dxa" w:w="1728"/>
          </w:tcPr>
          <w:p>
            <w:r>
              <w:rPr>
                <w:rFonts w:ascii="Calibri" w:hAnsi="Calibri"/>
                <w:sz w:val="22"/>
              </w:rPr>
              <w:t>FY2027 cons. ~$9.05</w:t>
            </w:r>
          </w:p>
        </w:tc>
        <w:tc>
          <w:tcPr>
            <w:tcW w:type="dxa" w:w="1728"/>
          </w:tcPr>
          <w:p>
            <w:r>
              <w:rPr>
                <w:rFonts w:ascii="Calibri" w:hAnsi="Calibri"/>
                <w:sz w:val="22"/>
              </w:rPr>
              <w:t>FY2027 consensus of ~$9.05 implies ~7.1% growth from $8.45 midpoint, within the 6–8% target range</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FY2026 EPS estimates have risen ~0.4% since the Q2 2026 print, tracking the raised guidance midpoint of $8.45 almost exactly — no divergence, no cushion. </w:t>
      </w:r>
      <w:r>
        <w:rPr>
          <w:rFonts w:ascii="Calibri" w:hAnsi="Calibri"/>
          <w:b/>
          <w:color w:val="525866"/>
          <w:sz w:val="22"/>
        </w:rPr>
        <w:t>FY2027 estimates are stable at ~$9.05, implying the street is comfortable with the 6–8% growth algorithm off the new base</w:t>
      </w:r>
      <w:r>
        <w:rPr>
          <w:rFonts w:ascii="Calibri" w:hAnsi="Calibri"/>
          <w:color w:val="525866"/>
          <w:sz w:val="22"/>
        </w:rPr>
        <w:t>, though Waha sustainability into FY2027 remains the key unresolved variable.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Q2 Earnings (as of May 12,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(Q4 2025 Call)</w:t>
            </w:r>
          </w:p>
        </w:tc>
        <w:tc>
          <w:tcPr>
            <w:tcW w:type="dxa" w:w="1080"/>
            <w:shd w:val="clear" w:color="auto" w:fill="3B4259"/>
          </w:tcPr>
          <w:p>
            <w:r>
              <w:rPr>
                <w:rFonts w:ascii="Calibri" w:hAnsi="Calibri"/>
                <w:b/>
                <w:color w:val="FFFFFF"/>
                <w:sz w:val="22"/>
              </w:rPr>
              <w:t>Current Guidance (Q2 2026 Call)</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EPS — Q3 2026</w:t>
            </w:r>
          </w:p>
        </w:tc>
        <w:tc>
          <w:tcPr>
            <w:tcW w:type="dxa" w:w="1080"/>
          </w:tcPr>
          <w:p>
            <w:r>
              <w:rPr>
                <w:rFonts w:ascii="Calibri" w:hAnsi="Calibri"/>
                <w:sz w:val="22"/>
              </w:rPr>
              <w:t>$1.33</w:t>
            </w:r>
          </w:p>
        </w:tc>
        <w:tc>
          <w:tcPr>
            <w:tcW w:type="dxa" w:w="1080"/>
          </w:tcPr>
          <w:p>
            <w:r>
              <w:rPr>
                <w:rFonts w:ascii="Calibri" w:hAnsi="Calibri"/>
                <w:sz w:val="22"/>
              </w:rPr>
              <w:t>$1.02</w:t>
            </w:r>
          </w:p>
        </w:tc>
        <w:tc>
          <w:tcPr>
            <w:tcW w:type="dxa" w:w="1080"/>
          </w:tcPr>
          <w:p>
            <w:r>
              <w:rPr>
                <w:rFonts w:ascii="Calibri" w:hAnsi="Calibri"/>
                <w:b/>
                <w:color w:val="E5484D"/>
                <w:sz w:val="22"/>
              </w:rPr>
              <w:t>−23.3%</w:t>
            </w:r>
          </w:p>
        </w:tc>
        <w:tc>
          <w:tcPr>
            <w:tcW w:type="dxa" w:w="1080"/>
          </w:tcPr>
          <w:p>
            <w:r>
              <w:rPr>
                <w:rFonts w:ascii="Calibri" w:hAnsi="Calibri"/>
                <w:sz w:val="22"/>
              </w:rPr>
              <w:t>No quarterly guide</w:t>
            </w:r>
          </w:p>
        </w:tc>
        <w:tc>
          <w:tcPr>
            <w:tcW w:type="dxa" w:w="1080"/>
          </w:tcPr>
          <w:p>
            <w:r>
              <w:rPr>
                <w:rFonts w:ascii="Calibri" w:hAnsi="Calibri"/>
                <w:sz w:val="22"/>
              </w:rPr>
              <w:t>No quarterly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FY2026</w:t>
            </w:r>
          </w:p>
        </w:tc>
        <w:tc>
          <w:tcPr>
            <w:tcW w:type="dxa" w:w="1080"/>
          </w:tcPr>
          <w:p>
            <w:r>
              <w:rPr>
                <w:rFonts w:ascii="Calibri" w:hAnsi="Calibri"/>
                <w:sz w:val="22"/>
              </w:rPr>
              <w:t>$8.42</w:t>
            </w:r>
          </w:p>
        </w:tc>
        <w:tc>
          <w:tcPr>
            <w:tcW w:type="dxa" w:w="1080"/>
          </w:tcPr>
          <w:p>
            <w:r>
              <w:rPr>
                <w:rFonts w:ascii="Calibri" w:hAnsi="Calibri"/>
                <w:sz w:val="22"/>
              </w:rPr>
              <w:t>$8.45</w:t>
            </w:r>
          </w:p>
        </w:tc>
        <w:tc>
          <w:tcPr>
            <w:tcW w:type="dxa" w:w="1080"/>
          </w:tcPr>
          <w:p>
            <w:r>
              <w:rPr>
                <w:rFonts w:ascii="Calibri" w:hAnsi="Calibri"/>
                <w:b/>
                <w:color w:val="30A46C"/>
                <w:sz w:val="22"/>
              </w:rPr>
              <w:t>+0.4%</w:t>
            </w:r>
          </w:p>
        </w:tc>
        <w:tc>
          <w:tcPr>
            <w:tcW w:type="dxa" w:w="1080"/>
          </w:tcPr>
          <w:p>
            <w:r>
              <w:rPr>
                <w:rFonts w:ascii="Calibri" w:hAnsi="Calibri"/>
                <w:sz w:val="22"/>
              </w:rPr>
              <w:t>$8.15–$8.35 (mid $8.25)</w:t>
            </w:r>
          </w:p>
        </w:tc>
        <w:tc>
          <w:tcPr>
            <w:tcW w:type="dxa" w:w="1080"/>
          </w:tcPr>
          <w:p>
            <w:r>
              <w:rPr>
                <w:rFonts w:ascii="Calibri" w:hAnsi="Calibri"/>
                <w:sz w:val="22"/>
              </w:rPr>
              <w:t>$8.40–$8.50 (mid $8.45)</w:t>
            </w:r>
          </w:p>
        </w:tc>
        <w:tc>
          <w:tcPr>
            <w:tcW w:type="dxa" w:w="1080"/>
          </w:tcPr>
          <w:p>
            <w:r>
              <w:rPr>
                <w:rFonts w:ascii="Calibri" w:hAnsi="Calibri"/>
                <w:b/>
                <w:color w:val="30A46C"/>
                <w:sz w:val="22"/>
              </w:rPr>
              <w:t>+$0.20 / +2.4%</w:t>
            </w:r>
          </w:p>
        </w:tc>
        <w:tc>
          <w:tcPr>
            <w:tcW w:type="dxa" w:w="1080"/>
          </w:tcPr>
          <w:p>
            <w:r>
              <w:rPr>
                <w:rFonts w:ascii="Calibri" w:hAnsi="Calibri"/>
                <w:sz w:val="22"/>
              </w:rPr>
              <w:t>~0% (at midpoint)</w:t>
            </w:r>
          </w:p>
        </w:tc>
      </w:tr>
      <w:tr>
        <w:tc>
          <w:tcPr>
            <w:tcW w:type="dxa" w:w="1080"/>
          </w:tcPr>
          <w:p>
            <w:r>
              <w:rPr>
                <w:rFonts w:ascii="Calibri" w:hAnsi="Calibri"/>
                <w:sz w:val="22"/>
              </w:rPr>
              <w:t>Operating EPS — FY2027</w:t>
            </w:r>
          </w:p>
        </w:tc>
        <w:tc>
          <w:tcPr>
            <w:tcW w:type="dxa" w:w="1080"/>
          </w:tcPr>
          <w:p>
            <w:r>
              <w:rPr>
                <w:rFonts w:ascii="Calibri" w:hAnsi="Calibri"/>
                <w:sz w:val="22"/>
              </w:rPr>
              <w:t>$8.96</w:t>
            </w:r>
          </w:p>
        </w:tc>
        <w:tc>
          <w:tcPr>
            <w:tcW w:type="dxa" w:w="1080"/>
          </w:tcPr>
          <w:p>
            <w:r>
              <w:rPr>
                <w:rFonts w:ascii="Calibri" w:hAnsi="Calibri"/>
                <w:sz w:val="22"/>
              </w:rPr>
              <w:t>$9.05</w:t>
            </w:r>
          </w:p>
        </w:tc>
        <w:tc>
          <w:tcPr>
            <w:tcW w:type="dxa" w:w="1080"/>
          </w:tcPr>
          <w:p>
            <w:r>
              <w:rPr>
                <w:rFonts w:ascii="Calibri" w:hAnsi="Calibri"/>
                <w:b/>
                <w:color w:val="30A46C"/>
                <w:sz w:val="22"/>
              </w:rPr>
              <w:t>+1.0%</w:t>
            </w:r>
          </w:p>
        </w:tc>
        <w:tc>
          <w:tcPr>
            <w:tcW w:type="dxa" w:w="1080"/>
          </w:tcPr>
          <w:p>
            <w:r>
              <w:rPr>
                <w:rFonts w:ascii="Calibri" w:hAnsi="Calibri"/>
                <w:sz w:val="22"/>
              </w:rPr>
              <w:t>6–8% growth from FY2026 base</w:t>
            </w:r>
          </w:p>
        </w:tc>
        <w:tc>
          <w:tcPr>
            <w:tcW w:type="dxa" w:w="1080"/>
          </w:tcPr>
          <w:p>
            <w:r>
              <w:rPr>
                <w:rFonts w:ascii="Calibri" w:hAnsi="Calibri"/>
                <w:sz w:val="22"/>
              </w:rPr>
              <w:t>6–8% growth from $8.40–$8.50 base</w:t>
            </w:r>
          </w:p>
        </w:tc>
        <w:tc>
          <w:tcPr>
            <w:tcW w:type="dxa" w:w="1080"/>
          </w:tcPr>
          <w:p>
            <w:r>
              <w:rPr>
                <w:rFonts w:ascii="Calibri" w:hAnsi="Calibri"/>
                <w:sz w:val="22"/>
              </w:rPr>
              <w:t>Base raised +$0.20</w:t>
            </w:r>
          </w:p>
        </w:tc>
        <w:tc>
          <w:tcPr>
            <w:tcW w:type="dxa" w:w="1080"/>
          </w:tcPr>
          <w:p>
            <w:r>
              <w:rPr>
                <w:rFonts w:ascii="Calibri" w:hAnsi="Calibri"/>
                <w:sz w:val="22"/>
              </w:rPr>
              <w:t>~7.1% implied growth; within range</w:t>
            </w:r>
          </w:p>
        </w:tc>
      </w:tr>
      <w:tr>
        <w:tc>
          <w:tcPr>
            <w:tcW w:type="dxa" w:w="1080"/>
          </w:tcPr>
          <w:p>
            <w:r>
              <w:rPr>
                <w:rFonts w:ascii="Calibri" w:hAnsi="Calibri"/>
                <w:sz w:val="22"/>
              </w:rPr>
              <w:t>Total Revenue — Q3 2026</w:t>
            </w:r>
          </w:p>
        </w:tc>
        <w:tc>
          <w:tcPr>
            <w:tcW w:type="dxa" w:w="1080"/>
          </w:tcPr>
          <w:p>
            <w:r>
              <w:rPr>
                <w:rFonts w:ascii="Calibri" w:hAnsi="Calibri"/>
                <w:sz w:val="22"/>
              </w:rPr>
              <w:t>$815.7M</w:t>
            </w:r>
          </w:p>
        </w:tc>
        <w:tc>
          <w:tcPr>
            <w:tcW w:type="dxa" w:w="1080"/>
          </w:tcPr>
          <w:p>
            <w:r>
              <w:rPr>
                <w:rFonts w:ascii="Calibri" w:hAnsi="Calibri"/>
                <w:sz w:val="22"/>
              </w:rPr>
              <w:t>$902.2M</w:t>
            </w:r>
          </w:p>
        </w:tc>
        <w:tc>
          <w:tcPr>
            <w:tcW w:type="dxa" w:w="1080"/>
          </w:tcPr>
          <w:p>
            <w:r>
              <w:rPr>
                <w:rFonts w:ascii="Calibri" w:hAnsi="Calibri"/>
                <w:b/>
                <w:color w:val="30A46C"/>
                <w:sz w:val="22"/>
              </w:rPr>
              <w:t>+10.6%</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FY2026</w:t>
            </w:r>
          </w:p>
        </w:tc>
        <w:tc>
          <w:tcPr>
            <w:tcW w:type="dxa" w:w="1080"/>
          </w:tcPr>
          <w:p>
            <w:r>
              <w:rPr>
                <w:rFonts w:ascii="Calibri" w:hAnsi="Calibri"/>
                <w:sz w:val="22"/>
              </w:rPr>
              <w:t>$4,839.8M</w:t>
            </w:r>
          </w:p>
        </w:tc>
        <w:tc>
          <w:tcPr>
            <w:tcW w:type="dxa" w:w="1080"/>
          </w:tcPr>
          <w:p>
            <w:r>
              <w:rPr>
                <w:rFonts w:ascii="Calibri" w:hAnsi="Calibri"/>
                <w:sz w:val="22"/>
              </w:rPr>
              <w:t>$5,110.7M</w:t>
            </w:r>
          </w:p>
        </w:tc>
        <w:tc>
          <w:tcPr>
            <w:tcW w:type="dxa" w:w="1080"/>
          </w:tcPr>
          <w:p>
            <w:r>
              <w:rPr>
                <w:rFonts w:ascii="Calibri" w:hAnsi="Calibri"/>
                <w:b/>
                <w:color w:val="30A46C"/>
                <w:sz w:val="22"/>
              </w:rPr>
              <w:t>+5.6%</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Capital Expenditures — FY2026</w:t>
            </w:r>
          </w:p>
        </w:tc>
        <w:tc>
          <w:tcPr>
            <w:tcW w:type="dxa" w:w="1080"/>
          </w:tcPr>
          <w:p>
            <w:r>
              <w:rPr>
                <w:rFonts w:ascii="Calibri" w:hAnsi="Calibri"/>
                <w:sz w:val="22"/>
              </w:rPr>
              <w:t>$4,135.9M</w:t>
            </w:r>
          </w:p>
        </w:tc>
        <w:tc>
          <w:tcPr>
            <w:tcW w:type="dxa" w:w="1080"/>
          </w:tcPr>
          <w:p>
            <w:r>
              <w:rPr>
                <w:rFonts w:ascii="Calibri" w:hAnsi="Calibri"/>
                <w:sz w:val="22"/>
              </w:rPr>
              <w:t>$4,169.2M</w:t>
            </w:r>
          </w:p>
        </w:tc>
        <w:tc>
          <w:tcPr>
            <w:tcW w:type="dxa" w:w="1080"/>
          </w:tcPr>
          <w:p>
            <w:r>
              <w:rPr>
                <w:rFonts w:ascii="Calibri" w:hAnsi="Calibri"/>
                <w:sz w:val="22"/>
              </w:rPr>
              <w:t>+0.8%</w:t>
            </w:r>
          </w:p>
        </w:tc>
        <w:tc>
          <w:tcPr>
            <w:tcW w:type="dxa" w:w="1080"/>
          </w:tcPr>
          <w:p>
            <w:r>
              <w:rPr>
                <w:rFonts w:ascii="Calibri" w:hAnsi="Calibri"/>
                <w:sz w:val="22"/>
              </w:rPr>
              <w:t>~$4,200M</w:t>
            </w:r>
          </w:p>
        </w:tc>
        <w:tc>
          <w:tcPr>
            <w:tcW w:type="dxa" w:w="1080"/>
          </w:tcPr>
          <w:p>
            <w:r>
              <w:rPr>
                <w:rFonts w:ascii="Calibri" w:hAnsi="Calibri"/>
                <w:sz w:val="22"/>
              </w:rPr>
              <w:t>~$4,200M (unchanged)</w:t>
            </w:r>
          </w:p>
        </w:tc>
        <w:tc>
          <w:tcPr>
            <w:tcW w:type="dxa" w:w="1080"/>
          </w:tcPr>
          <w:p>
            <w:r>
              <w:rPr>
                <w:rFonts w:ascii="Calibri" w:hAnsi="Calibri"/>
                <w:sz w:val="22"/>
              </w:rPr>
              <w:t>Unchanged</w:t>
            </w:r>
          </w:p>
        </w:tc>
        <w:tc>
          <w:tcPr>
            <w:tcW w:type="dxa" w:w="1080"/>
          </w:tcPr>
          <w:p>
            <w:r>
              <w:rPr>
                <w:rFonts w:ascii="Calibri" w:hAnsi="Calibri"/>
                <w:sz w:val="22"/>
              </w:rPr>
              <w:t>−0.7% (slightly below guide)</w:t>
            </w:r>
          </w:p>
        </w:tc>
      </w:tr>
    </w:tbl>
    <w:p>
      <w:r>
        <w:rPr>
          <w:rFonts w:ascii="Calibri" w:hAnsi="Calibri"/>
          <w:i/>
          <w:color w:val="525866"/>
          <w:sz w:val="22"/>
        </w:rPr>
        <w:t>Source: Visible Alpha Consensus and Actuals Data. Note: The large Q3 2026 EPS estimate revision (−23.3% from May 12 to current) reflects a recalibration of the seasonal split after the FY2026 guidance raise — the full-year estimate is stable (+0.4%), but the quarterly phasing shifted. Revenue revisions upward reflect higher purchased gas cost pass-throughs and are not indicative of underlying earnings power improvement.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ATO has underperformed both XLU and the S&amp;P 500 since the Q2 2026 earnings print, declining </w:t>
      </w:r>
      <w:r>
        <w:rPr>
          <w:rFonts w:ascii="Calibri" w:hAnsi="Calibri"/>
          <w:b/>
          <w:color w:val="525866"/>
          <w:sz w:val="22"/>
        </w:rPr>
        <w:t>−6.6% vs. XLU −3.5% and SPY +5.1%</w:t>
      </w:r>
      <w:r>
        <w:rPr>
          <w:rFonts w:ascii="Calibri" w:hAnsi="Calibri"/>
          <w:color w:val="525866"/>
          <w:sz w:val="22"/>
        </w:rPr>
        <w:t xml:space="preserve"> — the underperformance reflects investor skepticism about Waha spread sustainability into FY2027 and multiple compression as rates stayed elevated, not a deterioration in the underlying regulated utility business.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ATO vs. XLU vs. S&amp;P 500 — Indexed to 100 at May 6, 2026 (Q2 2026 Earnings Date). ATO: −6.6%, XLU: −3.5%, SPY: +5.1% through August 5, 2026. Sector ETF: XLU (Utilities Select Sector SPDR Fund). Source: Yahoo Finance.</w:t>
      </w:r>
    </w:p>
    <w:p>
      <w:pPr>
        <w:pStyle w:val="ListBullet"/>
        <w:ind w:left="360" w:hanging="360"/>
      </w:pPr>
      <w:r>
        <w:rPr>
          <w:rFonts w:ascii="Calibri" w:hAnsi="Calibri"/>
          <w:color w:val="525866"/>
          <w:sz w:val="22"/>
        </w:rPr>
        <w:t>ATO opened at $184.76 on May 6, 2026 (Q2 earnings day) and closed at $172.65 on August 5, 2026, a decline of $12.11 / −6.6%.</w:t>
      </w:r>
    </w:p>
    <w:p>
      <w:pPr>
        <w:pStyle w:val="ListBullet"/>
        <w:ind w:left="360" w:hanging="360"/>
      </w:pPr>
      <w:r>
        <w:rPr>
          <w:rFonts w:ascii="Calibri" w:hAnsi="Calibri"/>
          <w:color w:val="525866"/>
          <w:sz w:val="22"/>
        </w:rPr>
        <w:t>The stock declined sharply in the first two weeks post-earnings (to ~$176) and continued drifting lower through June, reaching a trough near $167 in early June before partially recovering to the $177–$179 range in mid-July.</w:t>
      </w:r>
    </w:p>
    <w:p>
      <w:pPr>
        <w:pStyle w:val="ListBullet"/>
        <w:ind w:left="360" w:hanging="360"/>
      </w:pPr>
      <w:r>
        <w:rPr>
          <w:rFonts w:ascii="Calibri" w:hAnsi="Calibri"/>
          <w:color w:val="525866"/>
          <w:sz w:val="22"/>
        </w:rPr>
        <w:t>XLU declined −3.5% over the same period, suggesting ATO-specific factors (Waha sustainability concerns, debt issuance) drove ~3 percentage points of incremental underperformance.</w:t>
      </w:r>
    </w:p>
    <w:p>
      <w:pPr>
        <w:pStyle w:val="ListBullet"/>
        <w:ind w:left="360" w:hanging="360"/>
      </w:pPr>
      <w:r>
        <w:rPr>
          <w:rFonts w:ascii="Calibri" w:hAnsi="Calibri"/>
          <w:color w:val="525866"/>
          <w:sz w:val="22"/>
        </w:rPr>
        <w:t>The S&amp;P 500 gained +5.1%, widening the relative gap — utilities broadly lagged as risk appetite improved and rate cut expectations were pushed out.</w:t>
      </w:r>
    </w:p>
    <w:p>
      <w:pPr>
        <w:pStyle w:val="ListBullet"/>
        <w:ind w:left="360" w:hanging="360"/>
      </w:pPr>
      <w:r>
        <w:rPr>
          <w:rFonts w:ascii="Calibri" w:hAnsi="Calibri"/>
          <w:color w:val="525866"/>
          <w:sz w:val="22"/>
        </w:rPr>
        <w:t>Key event: June 18, 2026 — ATO completed a $700M senior notes offering (4.750% due 2032), which added to near-term dilution concerns but is consistent with the $26B five-year capital plan financing needs.</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the Q2 2026 earnings call is the </w:t>
      </w:r>
      <w:r>
        <w:rPr>
          <w:rFonts w:ascii="Calibri" w:hAnsi="Calibri"/>
          <w:b/>
          <w:color w:val="525866"/>
          <w:sz w:val="22"/>
        </w:rPr>
        <w:t>$700M senior notes offering completed June 18</w:t>
      </w:r>
      <w:r>
        <w:rPr>
          <w:rFonts w:ascii="Calibri" w:hAnsi="Calibri"/>
          <w:color w:val="525866"/>
          <w:sz w:val="22"/>
        </w:rPr>
        <w:t>, which funds the capital program but adds to the financing overhang; analyst sentiment has been mixed-to-cautious with several PT cuts, though JPMorgan raised its PT to $198 in July.</w:t>
      </w:r>
    </w:p>
    <w:p>
      <w:pPr>
        <w:pStyle w:val="ListBullet"/>
        <w:ind w:left="360" w:hanging="360"/>
      </w:pPr>
      <w:r>
        <w:rPr>
          <w:rFonts w:ascii="Calibri" w:hAnsi="Calibri"/>
          <w:b/>
          <w:color w:val="525866"/>
          <w:sz w:val="22"/>
        </w:rPr>
        <w:t xml:space="preserve">August 5, 2026 — Earnings Release (After Market Close): </w:t>
      </w:r>
      <w:r>
        <w:rPr>
          <w:rFonts w:ascii="Calibri" w:hAnsi="Calibri"/>
          <w:color w:val="525866"/>
          <w:sz w:val="22"/>
        </w:rPr>
        <w:t>ATO scheduled to report fiscal Q3 2026 results after market close; conference call August 6 at 10am ET. Consensus operating EPS ~$1.02, revenue ~$902M.</w:t>
      </w:r>
    </w:p>
    <w:p>
      <w:pPr>
        <w:pStyle w:val="ListBullet"/>
        <w:ind w:left="360" w:hanging="360"/>
      </w:pPr>
      <w:r>
        <w:rPr>
          <w:rFonts w:ascii="Calibri" w:hAnsi="Calibri"/>
          <w:b/>
          <w:color w:val="525866"/>
          <w:sz w:val="22"/>
        </w:rPr>
        <w:t xml:space="preserve">July 14, 2026 — JPMorgan Raises PT to $198 (Overweight): </w:t>
      </w:r>
      <w:r>
        <w:rPr>
          <w:rFonts w:ascii="Calibri" w:hAnsi="Calibri"/>
          <w:color w:val="525866"/>
          <w:sz w:val="22"/>
        </w:rPr>
        <w:t>JPMorgan increased its price target from $196 to $198 and maintained an Overweight rating, the most constructive action from a major bank in the post-Q2 period. Implication: largest bull on the street sees limited downside from current levels.</w:t>
      </w:r>
    </w:p>
    <w:p>
      <w:pPr>
        <w:pStyle w:val="ListBullet"/>
        <w:ind w:left="360" w:hanging="360"/>
      </w:pPr>
      <w:r>
        <w:rPr>
          <w:rFonts w:ascii="Calibri" w:hAnsi="Calibri"/>
          <w:b/>
          <w:color w:val="525866"/>
          <w:sz w:val="22"/>
        </w:rPr>
        <w:t xml:space="preserve">July 17, 2026 — Truist Raises PT to $188 (Hold): </w:t>
      </w:r>
      <w:r>
        <w:rPr>
          <w:rFonts w:ascii="Calibri" w:hAnsi="Calibri"/>
          <w:color w:val="525866"/>
          <w:sz w:val="22"/>
        </w:rPr>
        <w:t>Truist upped its price objective from $187 to $188 while maintaining a Hold rating. Implication: modest positive revision but no conviction upgrade.</w:t>
      </w:r>
    </w:p>
    <w:p>
      <w:pPr>
        <w:pStyle w:val="ListBullet"/>
        <w:ind w:left="360" w:hanging="360"/>
      </w:pPr>
      <w:r>
        <w:rPr>
          <w:rFonts w:ascii="Calibri" w:hAnsi="Calibri"/>
          <w:b/>
          <w:color w:val="525866"/>
          <w:sz w:val="22"/>
        </w:rPr>
        <w:t xml:space="preserve">July 9, 2026 — Earnings Call Scheduled: </w:t>
      </w:r>
      <w:r>
        <w:rPr>
          <w:rFonts w:ascii="Calibri" w:hAnsi="Calibri"/>
          <w:color w:val="525866"/>
          <w:sz w:val="22"/>
        </w:rPr>
        <w:t>ATO announced Q3 2026 results will be released August 5 after market close with a conference call August 6 at 10am ET.</w:t>
      </w:r>
    </w:p>
    <w:p>
      <w:pPr>
        <w:pStyle w:val="ListBullet"/>
        <w:ind w:left="360" w:hanging="360"/>
      </w:pPr>
      <w:r>
        <w:rPr>
          <w:rFonts w:ascii="Calibri" w:hAnsi="Calibri"/>
          <w:b/>
          <w:color w:val="525866"/>
          <w:sz w:val="22"/>
        </w:rPr>
        <w:t xml:space="preserve">July 2, 2026 — Argus Lowers PT to $185 (Buy): </w:t>
      </w:r>
      <w:r>
        <w:rPr>
          <w:rFonts w:ascii="Calibri" w:hAnsi="Calibri"/>
          <w:color w:val="525866"/>
          <w:sz w:val="22"/>
        </w:rPr>
        <w:t>Argus reduced its price target from $190 to $185 while maintaining a Buy rating. Implication: even the bulls trimmed expectations post-Q2.</w:t>
      </w:r>
    </w:p>
    <w:p>
      <w:pPr>
        <w:pStyle w:val="ListBullet"/>
        <w:ind w:left="360" w:hanging="360"/>
      </w:pPr>
      <w:r>
        <w:rPr>
          <w:rFonts w:ascii="Calibri" w:hAnsi="Calibri"/>
          <w:b/>
          <w:color w:val="525866"/>
          <w:sz w:val="22"/>
        </w:rPr>
        <w:t xml:space="preserve">June 24, 2026 — Morgan Stanley Sets PT at $190: </w:t>
      </w:r>
      <w:r>
        <w:rPr>
          <w:rFonts w:ascii="Calibri" w:hAnsi="Calibri"/>
          <w:color w:val="525866"/>
          <w:sz w:val="22"/>
        </w:rPr>
        <w:t>Morgan Stanley initiated/set a price target of $190. Implication: constructive view from a major institution.</w:t>
      </w:r>
    </w:p>
    <w:p>
      <w:pPr>
        <w:pStyle w:val="ListBullet"/>
        <w:ind w:left="360" w:hanging="360"/>
      </w:pPr>
      <w:r>
        <w:rPr>
          <w:rFonts w:ascii="Calibri" w:hAnsi="Calibri"/>
          <w:b/>
          <w:color w:val="525866"/>
          <w:sz w:val="22"/>
        </w:rPr>
        <w:t xml:space="preserve">June 18, 2026 — $700M Senior Notes Offering Completed (4.750% due 2032): </w:t>
      </w:r>
      <w:r>
        <w:rPr>
          <w:rFonts w:ascii="Calibri" w:hAnsi="Calibri"/>
          <w:color w:val="525866"/>
          <w:sz w:val="22"/>
        </w:rPr>
        <w:t xml:space="preserve">ATO completed a public offering of $700M in senior notes at 4.750%, maturing January 15, 2032, generating net proceeds of ~$693.9M. Implication: </w:t>
      </w:r>
      <w:r>
        <w:rPr>
          <w:rFonts w:ascii="Calibri" w:hAnsi="Calibri"/>
          <w:b/>
          <w:color w:val="525866"/>
          <w:sz w:val="22"/>
        </w:rPr>
        <w:t>consistent with the $26B five-year capital plan financing needs</w:t>
      </w:r>
      <w:r>
        <w:rPr>
          <w:rFonts w:ascii="Calibri" w:hAnsi="Calibri"/>
          <w:color w:val="525866"/>
          <w:sz w:val="22"/>
        </w:rPr>
        <w:t>; adds to long-term debt load but is expected and manageable within the regulated utility framework. Interest payable January 15 and July 15 annually.</w:t>
      </w:r>
    </w:p>
    <w:p>
      <w:pPr>
        <w:pStyle w:val="ListBullet"/>
        <w:ind w:left="360" w:hanging="360"/>
      </w:pPr>
      <w:r>
        <w:rPr>
          <w:rFonts w:ascii="Calibri" w:hAnsi="Calibri"/>
          <w:b/>
          <w:color w:val="525866"/>
          <w:sz w:val="22"/>
        </w:rPr>
        <w:t xml:space="preserve">May 29, 2026 — Mizuho Lowers PT to $184 (Neutral): </w:t>
      </w:r>
      <w:r>
        <w:rPr>
          <w:rFonts w:ascii="Calibri" w:hAnsi="Calibri"/>
          <w:color w:val="525866"/>
          <w:sz w:val="22"/>
        </w:rPr>
        <w:t>Mizuho reduced its price target from $192 to $184 and maintained a Neutral rating. Implication: one of the more bearish post-Q2 actions; reflects concern about Waha normalization.</w:t>
      </w:r>
    </w:p>
    <w:p>
      <w:pPr>
        <w:pStyle w:val="ListBullet"/>
        <w:ind w:left="360" w:hanging="360"/>
      </w:pPr>
      <w:r>
        <w:rPr>
          <w:rFonts w:ascii="Calibri" w:hAnsi="Calibri"/>
          <w:b/>
          <w:color w:val="525866"/>
          <w:sz w:val="22"/>
        </w:rPr>
        <w:t xml:space="preserve">May 18, 2026 — Truist Lowers PT to $187 (Hold): </w:t>
      </w:r>
      <w:r>
        <w:rPr>
          <w:rFonts w:ascii="Calibri" w:hAnsi="Calibri"/>
          <w:color w:val="525866"/>
          <w:sz w:val="22"/>
        </w:rPr>
        <w:t>Truist reduced its price objective from $195 to $187 while maintaining a Hold rating.</w:t>
      </w:r>
    </w:p>
    <w:p>
      <w:pPr>
        <w:pStyle w:val="ListBullet"/>
        <w:ind w:left="360" w:hanging="360"/>
      </w:pPr>
      <w:r>
        <w:rPr>
          <w:rFonts w:ascii="Calibri" w:hAnsi="Calibri"/>
          <w:b/>
          <w:color w:val="525866"/>
          <w:sz w:val="22"/>
        </w:rPr>
        <w:t xml:space="preserve">May 15, 2026 — TD Cowen Raises PT to $196 (Hold): </w:t>
      </w:r>
      <w:r>
        <w:rPr>
          <w:rFonts w:ascii="Calibri" w:hAnsi="Calibri"/>
          <w:color w:val="525866"/>
          <w:sz w:val="22"/>
        </w:rPr>
        <w:t>TD Cowen increased its price target from $193 to $196 while maintaining a Hold rating. Implication: constructive on the guidance raise but not enough to upgrade.</w:t>
      </w:r>
    </w:p>
    <w:p>
      <w:pPr>
        <w:pStyle w:val="ListBullet"/>
        <w:ind w:left="360" w:hanging="360"/>
      </w:pPr>
      <w:r>
        <w:rPr>
          <w:rFonts w:ascii="Calibri" w:hAnsi="Calibri"/>
          <w:b/>
          <w:color w:val="525866"/>
          <w:sz w:val="22"/>
        </w:rPr>
        <w:t xml:space="preserve">May 8, 2026 — Citigroup Raises PT to $191 (Neutral): </w:t>
      </w:r>
      <w:r>
        <w:rPr>
          <w:rFonts w:ascii="Calibri" w:hAnsi="Calibri"/>
          <w:color w:val="525866"/>
          <w:sz w:val="22"/>
        </w:rPr>
        <w:t>Citigroup boosted its price target from $182 to $191 following the Q2 beat and guidance raise.</w:t>
      </w:r>
    </w:p>
    <w:p>
      <w:pPr>
        <w:pStyle w:val="ListBullet"/>
        <w:ind w:left="360" w:hanging="360"/>
      </w:pPr>
      <w:r>
        <w:rPr>
          <w:rFonts w:ascii="Calibri" w:hAnsi="Calibri"/>
          <w:b/>
          <w:color w:val="525866"/>
          <w:sz w:val="22"/>
        </w:rPr>
        <w:t xml:space="preserve">Analyst Consensus (as of August 4, 2026): </w:t>
      </w:r>
      <w:r>
        <w:rPr>
          <w:rFonts w:ascii="Calibri" w:hAnsi="Calibri"/>
          <w:color w:val="525866"/>
          <w:sz w:val="22"/>
        </w:rPr>
        <w:t xml:space="preserve">10 Hold, 2 Buy, 0 Sell ratings. Average price target ~$183.90–$186.92 (sources vary slightly). Stock at $172.65 implies ~6–8% upside to consensus PT. Implication: </w:t>
      </w:r>
      <w:r>
        <w:rPr>
          <w:rFonts w:ascii="Calibri" w:hAnsi="Calibri"/>
          <w:b/>
          <w:color w:val="525866"/>
          <w:sz w:val="22"/>
        </w:rPr>
        <w:t>the street is not positioned for a beat</w:t>
      </w:r>
      <w:r>
        <w:rPr>
          <w:rFonts w:ascii="Calibri" w:hAnsi="Calibri"/>
          <w:color w:val="525866"/>
          <w:sz w:val="22"/>
        </w:rPr>
        <w:t>; a clean print with any positive Waha commentary could drive a re-rating.</w:t>
      </w:r>
    </w:p>
    <w:p>
      <w:r>
        <w:br w:type="page"/>
      </w:r>
    </w:p>
    <w:p>
      <w:pPr>
        <w:pStyle w:val="Heading2"/>
      </w:pPr>
      <w:r>
        <w:rPr>
          <w:rFonts w:ascii="Calibri" w:hAnsi="Calibri"/>
          <w:b/>
          <w:color w:val="3B4259"/>
          <w:sz w:val="28"/>
        </w:rPr>
        <w:t>7. Peer Commentaries — Read-Throughs for ATO Q3 2026</w:t>
      </w:r>
    </w:p>
    <w:p>
      <w:r>
        <w:rPr>
          <w:rFonts w:ascii="Calibri" w:hAnsi="Calibri"/>
          <w:b/>
          <w:color w:val="525866"/>
          <w:sz w:val="22"/>
        </w:rPr>
        <w:t xml:space="preserve">Key Takeaway: </w:t>
      </w:r>
      <w:r>
        <w:rPr>
          <w:rFonts w:ascii="Calibri" w:hAnsi="Calibri"/>
          <w:color w:val="525866"/>
          <w:sz w:val="22"/>
        </w:rPr>
        <w:t xml:space="preserve">Peer commentary from the last 60 days is broadly constructive for regulated gas utilities — </w:t>
      </w:r>
      <w:r>
        <w:rPr>
          <w:rFonts w:ascii="Calibri" w:hAnsi="Calibri"/>
          <w:b/>
          <w:color w:val="525866"/>
          <w:sz w:val="22"/>
        </w:rPr>
        <w:t>ONE Gas (OGS) raised FY2026 guidance citing Texas HB 4384 benefits</w:t>
      </w:r>
      <w:r>
        <w:rPr>
          <w:rFonts w:ascii="Calibri" w:hAnsi="Calibri"/>
          <w:color w:val="525866"/>
          <w:sz w:val="22"/>
        </w:rPr>
        <w:t xml:space="preserve"> (a direct ATO read-through), and NJR tightened its guidance range upward. Both peers highlight warm weather headwinds offset by regulatory mechanisms, consistent with ATO’s own framework. The key ATO-specific read-through is that Texas HB 4384 is delivering real earnings uplift across the peer group.</w:t>
      </w:r>
    </w:p>
    <w:p>
      <w:pPr>
        <w:pStyle w:val="Heading3"/>
      </w:pPr>
      <w:r>
        <w:rPr>
          <w:rFonts w:ascii="Calibri" w:hAnsi="Calibri"/>
          <w:b/>
          <w:color w:val="3B4259"/>
          <w:sz w:val="24"/>
        </w:rPr>
        <w:t>ONE Gas (OGS) — Q2 2026 Results &amp; Guidance Raise (August 4, 2026)</w:t>
      </w:r>
    </w:p>
    <w:p>
      <w:r>
        <w:rPr>
          <w:rFonts w:ascii="Calibri" w:hAnsi="Calibri"/>
          <w:b/>
          <w:color w:val="525866"/>
          <w:sz w:val="22"/>
        </w:rPr>
        <w:t xml:space="preserve">Relevance to ATO: </w:t>
      </w:r>
      <w:r>
        <w:rPr>
          <w:rFonts w:ascii="Calibri" w:hAnsi="Calibri"/>
          <w:color w:val="525866"/>
          <w:sz w:val="22"/>
        </w:rPr>
        <w:t>HIGH. OGS is a 100% regulated natural gas utility serving Kansas, Oklahoma, and Texas — the Texas overlap and shared HB 4384 regulatory framework make this the most direct read-through for ATO’s Q3 2026 print.</w:t>
      </w:r>
    </w:p>
    <w:p>
      <w:pPr>
        <w:pStyle w:val="ListBullet"/>
        <w:ind w:left="360" w:hanging="360"/>
      </w:pPr>
      <w:r>
        <w:rPr>
          <w:rFonts w:ascii="Calibri" w:hAnsi="Calibri"/>
          <w:b/>
          <w:color w:val="525866"/>
          <w:sz w:val="22"/>
        </w:rPr>
        <w:t xml:space="preserve">Guidance Raise — Texas HB 4384 Delivering: </w:t>
      </w:r>
      <w:r>
        <w:rPr>
          <w:rFonts w:ascii="Calibri" w:hAnsi="Calibri"/>
          <w:color w:val="525866"/>
          <w:sz w:val="22"/>
        </w:rPr>
        <w:t xml:space="preserve">OGS raised its 2026 adjusted earnings expectations to the upper half of its $306M–$314M adjusted net income range and $4.83–$4.95 adjusted EPS range, citing strong H1 2026 performance and anticipated benefits from Texas House Bill 4384. </w:t>
      </w:r>
      <w:r>
        <w:rPr>
          <w:rFonts w:ascii="Calibri" w:hAnsi="Calibri"/>
          <w:b/>
          <w:color w:val="525866"/>
          <w:sz w:val="22"/>
        </w:rPr>
        <w:t xml:space="preserve">ATO Read-Through: </w:t>
      </w:r>
      <w:r>
        <w:rPr>
          <w:rFonts w:ascii="Calibri" w:hAnsi="Calibri"/>
          <w:color w:val="525866"/>
          <w:sz w:val="22"/>
        </w:rPr>
        <w:t>Confirms that HB 4384 / Rule 77-102 is delivering real, measurable earnings uplift across Texas-exposed gas utilities in the current quarter. Positive signal for ATO’s Q3 regulatory income line.</w:t>
      </w:r>
    </w:p>
    <w:p>
      <w:pPr>
        <w:pStyle w:val="ListBullet"/>
        <w:ind w:left="360" w:hanging="360"/>
      </w:pPr>
      <w:r>
        <w:rPr>
          <w:rFonts w:ascii="Calibri" w:hAnsi="Calibri"/>
          <w:b/>
          <w:color w:val="525866"/>
          <w:sz w:val="22"/>
        </w:rPr>
        <w:t xml:space="preserve">Texas Regulatory Win — GRIP Approved: </w:t>
      </w:r>
      <w:r>
        <w:rPr>
          <w:rFonts w:ascii="Calibri" w:hAnsi="Calibri"/>
          <w:color w:val="525866"/>
          <w:sz w:val="22"/>
        </w:rPr>
        <w:t xml:space="preserve">Texas Gas Service (OGS’s Texas subsidiary) filed a GRIP request for $36.9M revenue increase in March 2026; the Texas Railroad Commission approved it in June 2026 with new rates effective July 2026. </w:t>
      </w:r>
      <w:r>
        <w:rPr>
          <w:rFonts w:ascii="Calibri" w:hAnsi="Calibri"/>
          <w:b/>
          <w:color w:val="525866"/>
          <w:sz w:val="22"/>
        </w:rPr>
        <w:t xml:space="preserve">ATO Read-Through: </w:t>
      </w:r>
      <w:r>
        <w:rPr>
          <w:rFonts w:ascii="Calibri" w:hAnsi="Calibri"/>
          <w:color w:val="525866"/>
          <w:sz w:val="22"/>
        </w:rPr>
        <w:t>Texas Railroad Commission is actively approving rate filings on schedule. ATO has 13 filings in progress seeking ~$600M in annualized operating income increases, with ~40% expected in Q3 — OGS’s approval is a positive precedent.</w:t>
      </w:r>
    </w:p>
    <w:p>
      <w:pPr>
        <w:pStyle w:val="ListBullet"/>
        <w:ind w:left="360" w:hanging="360"/>
      </w:pPr>
      <w:r>
        <w:rPr>
          <w:rFonts w:ascii="Calibri" w:hAnsi="Calibri"/>
          <w:b/>
          <w:color w:val="525866"/>
          <w:sz w:val="22"/>
        </w:rPr>
        <w:t xml:space="preserve">Warm Weather Headwind Offset by Mechanisms: </w:t>
      </w:r>
      <w:r>
        <w:rPr>
          <w:rFonts w:ascii="Calibri" w:hAnsi="Calibri"/>
          <w:color w:val="525866"/>
          <w:sz w:val="22"/>
        </w:rPr>
        <w:t xml:space="preserve">OGS reported weather 42% warmer than normal and 28% warmer than prior year in Q2 2026 (calendar), with total sales volumes down to 15.9 Bcf from 18.9 Bcf. However, weather normalization mechanisms mitigated the impact on operating income. </w:t>
      </w:r>
      <w:r>
        <w:rPr>
          <w:rFonts w:ascii="Calibri" w:hAnsi="Calibri"/>
          <w:b/>
          <w:color w:val="525866"/>
          <w:sz w:val="22"/>
        </w:rPr>
        <w:t xml:space="preserve">ATO Read-Through: </w:t>
      </w:r>
      <w:r>
        <w:rPr>
          <w:rFonts w:ascii="Calibri" w:hAnsi="Calibri"/>
          <w:color w:val="525866"/>
          <w:sz w:val="22"/>
        </w:rPr>
        <w:t>ATO’s Q3 2026 (April–June) likely faced similar warm weather conditions; the OGS result confirms that regulatory mechanisms are functioning as designed and weather is not a material earnings risk for well-hedged regulated utilities.</w:t>
      </w:r>
    </w:p>
    <w:p>
      <w:pPr>
        <w:pStyle w:val="ListBullet"/>
        <w:ind w:left="360" w:hanging="360"/>
      </w:pPr>
      <w:r>
        <w:rPr>
          <w:rFonts w:ascii="Calibri" w:hAnsi="Calibri"/>
          <w:b/>
          <w:color w:val="525866"/>
          <w:sz w:val="22"/>
        </w:rPr>
        <w:t xml:space="preserve">Customer Growth Positive in Texas: </w:t>
      </w:r>
      <w:r>
        <w:rPr>
          <w:rFonts w:ascii="Calibri" w:hAnsi="Calibri"/>
          <w:color w:val="525866"/>
          <w:sz w:val="22"/>
        </w:rPr>
        <w:t xml:space="preserve">OGS reported net customer growth in Oklahoma and Texas, with Texas customers increasing from 713K to 717K YoY. </w:t>
      </w:r>
      <w:r>
        <w:rPr>
          <w:rFonts w:ascii="Calibri" w:hAnsi="Calibri"/>
          <w:b/>
          <w:color w:val="525866"/>
          <w:sz w:val="22"/>
        </w:rPr>
        <w:t xml:space="preserve">ATO Read-Through: </w:t>
      </w:r>
      <w:r>
        <w:rPr>
          <w:rFonts w:ascii="Calibri" w:hAnsi="Calibri"/>
          <w:color w:val="525866"/>
          <w:sz w:val="22"/>
        </w:rPr>
        <w:t>Consistent with ATO’s own customer growth narrative in Texas; validates the demand thesis for natural gas in high-growth Texas markets.</w:t>
      </w:r>
    </w:p>
    <w:p>
      <w:pPr>
        <w:pStyle w:val="ListBullet"/>
        <w:ind w:left="360" w:hanging="360"/>
      </w:pPr>
      <w:r>
        <w:rPr>
          <w:rFonts w:ascii="Calibri" w:hAnsi="Calibri"/>
          <w:b/>
          <w:color w:val="525866"/>
          <w:sz w:val="22"/>
        </w:rPr>
        <w:t xml:space="preserve">Capital Spending Slightly Below Plan: </w:t>
      </w:r>
      <w:r>
        <w:rPr>
          <w:rFonts w:ascii="Calibri" w:hAnsi="Calibri"/>
          <w:color w:val="525866"/>
          <w:sz w:val="22"/>
        </w:rPr>
        <w:t xml:space="preserve">OGS CapEx was $188.3M in Q2 2026, slightly below $190.1M in Q2 2025, with YTD at $357.9M vs. $367.8M prior year. Full-year target of ~$800M maintained. </w:t>
      </w:r>
      <w:r>
        <w:rPr>
          <w:rFonts w:ascii="Calibri" w:hAnsi="Calibri"/>
          <w:b/>
          <w:color w:val="525866"/>
          <w:sz w:val="22"/>
        </w:rPr>
        <w:t xml:space="preserve">ATO Read-Through: </w:t>
      </w:r>
      <w:r>
        <w:rPr>
          <w:rFonts w:ascii="Calibri" w:hAnsi="Calibri"/>
          <w:color w:val="525866"/>
          <w:sz w:val="22"/>
        </w:rPr>
        <w:t>Mild negative signal — if peers are running slightly below CapEx pace, ATO may also face timing variability in its $4.2B FY2026 target, though ATO’s H1 actuals of $2.0B suggest it is on track.</w:t>
      </w:r>
    </w:p>
    <w:p>
      <w:pPr>
        <w:pStyle w:val="Heading3"/>
      </w:pPr>
      <w:r>
        <w:rPr>
          <w:rFonts w:ascii="Calibri" w:hAnsi="Calibri"/>
          <w:b/>
          <w:color w:val="3B4259"/>
          <w:sz w:val="24"/>
        </w:rPr>
        <w:t>New Jersey Resources (NJR) — Fiscal Q3 2026 Earnings Call (August 4, 2026)</w:t>
      </w:r>
    </w:p>
    <w:p>
      <w:r>
        <w:rPr>
          <w:rFonts w:ascii="Calibri" w:hAnsi="Calibri"/>
          <w:b/>
          <w:color w:val="525866"/>
          <w:sz w:val="22"/>
        </w:rPr>
        <w:t xml:space="preserve">Relevance to ATO: </w:t>
      </w:r>
      <w:r>
        <w:rPr>
          <w:rFonts w:ascii="Calibri" w:hAnsi="Calibri"/>
          <w:color w:val="525866"/>
          <w:sz w:val="22"/>
        </w:rPr>
        <w:t>MODERATE. NJR is a diversified gas utility (not pure-play regulated) with New Jersey Natural Gas as its core utility. Less direct overlap with ATO’s Texas-heavy footprint, but useful for reading through on regulatory tone, affordability dynamics, and capital deployment.</w:t>
      </w:r>
    </w:p>
    <w:p>
      <w:pPr>
        <w:pStyle w:val="ListBullet"/>
        <w:ind w:left="360" w:hanging="360"/>
      </w:pPr>
      <w:r>
        <w:rPr>
          <w:rFonts w:ascii="Calibri" w:hAnsi="Calibri"/>
          <w:b/>
          <w:color w:val="525866"/>
          <w:sz w:val="22"/>
        </w:rPr>
        <w:t xml:space="preserve">Guidance Tightened Upward: </w:t>
      </w:r>
      <w:r>
        <w:rPr>
          <w:rFonts w:ascii="Calibri" w:hAnsi="Calibri"/>
          <w:color w:val="525866"/>
          <w:sz w:val="22"/>
        </w:rPr>
        <w:t xml:space="preserve">NJR tightened its fiscal 2026 NFE EPS guidance range to $3.52–$3.62 per share (narrowed range, increased midpoint), citing greater visibility into full-year results. </w:t>
      </w:r>
      <w:r>
        <w:rPr>
          <w:rFonts w:ascii="Calibri" w:hAnsi="Calibri"/>
          <w:b/>
          <w:color w:val="525866"/>
          <w:sz w:val="22"/>
        </w:rPr>
        <w:t xml:space="preserve">ATO Read-Through: </w:t>
      </w:r>
      <w:r>
        <w:rPr>
          <w:rFonts w:ascii="Calibri" w:hAnsi="Calibri"/>
          <w:color w:val="525866"/>
          <w:sz w:val="22"/>
        </w:rPr>
        <w:t>Positive signal — regulated gas utilities are generally tracking to or above guidance in the current fiscal year, consistent with ATO’s own raised guidance.</w:t>
      </w:r>
    </w:p>
    <w:p>
      <w:pPr>
        <w:pStyle w:val="ListBullet"/>
        <w:ind w:left="360" w:hanging="360"/>
      </w:pPr>
      <w:r>
        <w:rPr>
          <w:rFonts w:ascii="Calibri" w:hAnsi="Calibri"/>
          <w:b/>
          <w:color w:val="525866"/>
          <w:sz w:val="22"/>
        </w:rPr>
        <w:t xml:space="preserve">Capital Investment Raised: </w:t>
      </w:r>
      <w:r>
        <w:rPr>
          <w:rFonts w:ascii="Calibri" w:hAnsi="Calibri"/>
          <w:color w:val="525866"/>
          <w:sz w:val="22"/>
        </w:rPr>
        <w:t xml:space="preserve">NJR increased its FY2026 capital investment expectations to $815M–$950M (from $775M–$930M), driven by additional utility safety and reliability investments. Five-year CapEx outlook of $4.8B–$5.2B through FY2030 reaffirmed. </w:t>
      </w:r>
      <w:r>
        <w:rPr>
          <w:rFonts w:ascii="Calibri" w:hAnsi="Calibri"/>
          <w:b/>
          <w:color w:val="525866"/>
          <w:sz w:val="22"/>
        </w:rPr>
        <w:t xml:space="preserve">ATO Read-Through: </w:t>
      </w:r>
      <w:r>
        <w:rPr>
          <w:rFonts w:ascii="Calibri" w:hAnsi="Calibri"/>
          <w:color w:val="525866"/>
          <w:sz w:val="22"/>
        </w:rPr>
        <w:t>Confirms that regulated gas utilities are accelerating capital deployment for safety and reliability — supportive of ATO’s $26B five-year plan and 13–15% rate base growth target.</w:t>
      </w:r>
    </w:p>
    <w:p>
      <w:pPr>
        <w:pStyle w:val="ListBullet"/>
        <w:ind w:left="360" w:hanging="360"/>
      </w:pPr>
      <w:r>
        <w:rPr>
          <w:rFonts w:ascii="Calibri" w:hAnsi="Calibri"/>
          <w:b/>
          <w:color w:val="525866"/>
          <w:sz w:val="22"/>
        </w:rPr>
        <w:t xml:space="preserve">Regulatory Milestones Achieved: </w:t>
      </w:r>
      <w:r>
        <w:rPr>
          <w:rFonts w:ascii="Calibri" w:hAnsi="Calibri"/>
          <w:color w:val="525866"/>
          <w:sz w:val="22"/>
        </w:rPr>
        <w:t xml:space="preserve">NJR received the first FERC certificate for its Leaf River storage expansion ahead of schedule. BPU filings submitted June 1 designed to provide customer bill relief while supporting long-term investment. Rate case process described as “normal” and “plain vanilla.” </w:t>
      </w:r>
      <w:r>
        <w:rPr>
          <w:rFonts w:ascii="Calibri" w:hAnsi="Calibri"/>
          <w:b/>
          <w:color w:val="525866"/>
          <w:sz w:val="22"/>
        </w:rPr>
        <w:t xml:space="preserve">ATO Read-Through: </w:t>
      </w:r>
      <w:r>
        <w:rPr>
          <w:rFonts w:ascii="Calibri" w:hAnsi="Calibri"/>
          <w:color w:val="525866"/>
          <w:sz w:val="22"/>
        </w:rPr>
        <w:t>Regulatory environment for gas utilities remains constructive; no signs of pushback on capital recovery mechanisms.</w:t>
      </w:r>
    </w:p>
    <w:p>
      <w:pPr>
        <w:pStyle w:val="ListBullet"/>
        <w:ind w:left="360" w:hanging="360"/>
      </w:pPr>
      <w:r>
        <w:rPr>
          <w:rFonts w:ascii="Calibri" w:hAnsi="Calibri"/>
          <w:b/>
          <w:color w:val="525866"/>
          <w:sz w:val="22"/>
        </w:rPr>
        <w:t xml:space="preserve">Affordability Emphasis: </w:t>
      </w:r>
      <w:r>
        <w:rPr>
          <w:rFonts w:ascii="Calibri" w:hAnsi="Calibri"/>
          <w:color w:val="525866"/>
          <w:sz w:val="22"/>
        </w:rPr>
        <w:t xml:space="preserve">NJR emphasized natural gas as “one of the lowest cost ways to heat a home” and structured BPU filings to keep customer bills “nearly flat.” </w:t>
      </w:r>
      <w:r>
        <w:rPr>
          <w:rFonts w:ascii="Calibri" w:hAnsi="Calibri"/>
          <w:b/>
          <w:color w:val="525866"/>
          <w:sz w:val="22"/>
        </w:rPr>
        <w:t xml:space="preserve">ATO Read-Through: </w:t>
      </w:r>
      <w:r>
        <w:rPr>
          <w:rFonts w:ascii="Calibri" w:hAnsi="Calibri"/>
          <w:color w:val="525866"/>
          <w:sz w:val="22"/>
        </w:rPr>
        <w:t>Consistent with ATO management’s own affordability messaging; regulators across multiple states are receptive to gas utility investment when framed around affordability and reliability.</w:t>
      </w:r>
    </w:p>
    <w:p>
      <w:pPr>
        <w:pStyle w:val="ListBullet"/>
        <w:ind w:left="360" w:hanging="360"/>
      </w:pPr>
      <w:r>
        <w:rPr>
          <w:rFonts w:ascii="Calibri" w:hAnsi="Calibri"/>
          <w:b/>
          <w:color w:val="525866"/>
          <w:sz w:val="22"/>
        </w:rPr>
        <w:t xml:space="preserve">Long-Term Growth Target Reaffirmed: </w:t>
      </w:r>
      <w:r>
        <w:rPr>
          <w:rFonts w:ascii="Calibri" w:hAnsi="Calibri"/>
          <w:color w:val="525866"/>
          <w:sz w:val="22"/>
        </w:rPr>
        <w:t xml:space="preserve">NJR reaffirmed 7–9% long-term EPS growth target, with FY2027 guidance to be provided in November based on 7–9% growth from a $2.73 FY2025 base. </w:t>
      </w:r>
      <w:r>
        <w:rPr>
          <w:rFonts w:ascii="Calibri" w:hAnsi="Calibri"/>
          <w:b/>
          <w:color w:val="525866"/>
          <w:sz w:val="22"/>
        </w:rPr>
        <w:t xml:space="preserve">ATO Read-Through: </w:t>
      </w:r>
      <w:r>
        <w:rPr>
          <w:rFonts w:ascii="Calibri" w:hAnsi="Calibri"/>
          <w:color w:val="525866"/>
          <w:sz w:val="22"/>
        </w:rPr>
        <w:t>Peer growth algorithms are intact; no signs of sector-wide guidance cuts that would pressure ATO’s 6–8% target.</w:t>
      </w:r>
    </w:p>
    <w:p>
      <w:pPr>
        <w:pStyle w:val="Heading3"/>
      </w:pPr>
      <w:r>
        <w:rPr>
          <w:rFonts w:ascii="Calibri" w:hAnsi="Calibri"/>
          <w:b/>
          <w:color w:val="3B4259"/>
          <w:sz w:val="24"/>
        </w:rPr>
        <w:t>Spire Inc. (SR) — Storage Asset Sale &amp; Financial Recast (June–July 2026)</w:t>
      </w:r>
    </w:p>
    <w:p>
      <w:r>
        <w:rPr>
          <w:rFonts w:ascii="Calibri" w:hAnsi="Calibri"/>
          <w:b/>
          <w:color w:val="525866"/>
          <w:sz w:val="22"/>
        </w:rPr>
        <w:t xml:space="preserve">Relevance to ATO: </w:t>
      </w:r>
      <w:r>
        <w:rPr>
          <w:rFonts w:ascii="Calibri" w:hAnsi="Calibri"/>
          <w:color w:val="525866"/>
          <w:sz w:val="22"/>
        </w:rPr>
        <w:t>LOW-MODERATE. Spire is a regulated gas utility but with a different geographic footprint (Missouri, Alabama, Mississippi) and has been undergoing portfolio restructuring. The storage asset sale is not directly relevant to ATO, but the recast of financials is worth noting for sector context.</w:t>
      </w:r>
    </w:p>
    <w:p>
      <w:pPr>
        <w:pStyle w:val="ListBullet"/>
        <w:ind w:left="360" w:hanging="360"/>
      </w:pPr>
      <w:r>
        <w:rPr>
          <w:rFonts w:ascii="Calibri" w:hAnsi="Calibri"/>
          <w:b/>
          <w:color w:val="525866"/>
          <w:sz w:val="22"/>
        </w:rPr>
        <w:t xml:space="preserve">June 30, 2026 — $657M Storage Asset Sale Completed: </w:t>
      </w:r>
      <w:r>
        <w:rPr>
          <w:rFonts w:ascii="Calibri" w:hAnsi="Calibri"/>
          <w:color w:val="525866"/>
          <w:sz w:val="22"/>
        </w:rPr>
        <w:t xml:space="preserve">Spire completed the sale of storage assets to I Squared Capital affiliate for $657M. </w:t>
      </w:r>
      <w:r>
        <w:rPr>
          <w:rFonts w:ascii="Calibri" w:hAnsi="Calibri"/>
          <w:b/>
          <w:color w:val="525866"/>
          <w:sz w:val="22"/>
        </w:rPr>
        <w:t xml:space="preserve">ATO Read-Through: </w:t>
      </w:r>
      <w:r>
        <w:rPr>
          <w:rFonts w:ascii="Calibri" w:hAnsi="Calibri"/>
          <w:color w:val="525866"/>
          <w:sz w:val="22"/>
        </w:rPr>
        <w:t>Limited direct read-through; ATO’s Atmos Pipeline Texas storage assets are core to its regulated business and not for sale. However, the transaction validates that gas storage infrastructure commands strong valuations from infrastructure investors.</w:t>
      </w:r>
    </w:p>
    <w:p>
      <w:pPr>
        <w:pStyle w:val="ListBullet"/>
        <w:ind w:left="360" w:hanging="360"/>
      </w:pPr>
      <w:r>
        <w:rPr>
          <w:rFonts w:ascii="Calibri" w:hAnsi="Calibri"/>
          <w:b/>
          <w:color w:val="525866"/>
          <w:sz w:val="22"/>
        </w:rPr>
        <w:t xml:space="preserve">July 8, 2026 — Financial Recast Following Dispositions: </w:t>
      </w:r>
      <w:r>
        <w:rPr>
          <w:rFonts w:ascii="Calibri" w:hAnsi="Calibri"/>
          <w:color w:val="525866"/>
          <w:sz w:val="22"/>
        </w:rPr>
        <w:t xml:space="preserve">Spire recasted fiscal 2025 financials following dispositions and segment revisions. </w:t>
      </w:r>
      <w:r>
        <w:rPr>
          <w:rFonts w:ascii="Calibri" w:hAnsi="Calibri"/>
          <w:b/>
          <w:color w:val="525866"/>
          <w:sz w:val="22"/>
        </w:rPr>
        <w:t xml:space="preserve">ATO Read-Through: </w:t>
      </w:r>
      <w:r>
        <w:rPr>
          <w:rFonts w:ascii="Calibri" w:hAnsi="Calibri"/>
          <w:color w:val="525866"/>
          <w:sz w:val="22"/>
        </w:rPr>
        <w:t>No direct read-through; ATO’s business is simpler (two segments: regulated distribution and regulated pipeline) with no pending divestitures.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