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Atmos Energy Corporation (ATO)</w:t>
      </w:r>
    </w:p>
    <w:p>
      <w:pPr>
        <w:pStyle w:val="Heading2"/>
      </w:pPr>
      <w:r>
        <w:rPr>
          <w:rFonts w:ascii="Calibri" w:hAnsi="Calibri"/>
          <w:b/>
          <w:color w:val="3B4259"/>
          <w:sz w:val="28"/>
        </w:rPr>
        <w:t>Fiscal Q3 2026 Earnings Preview</w:t>
      </w:r>
    </w:p>
    <w:p>
      <w:r>
        <w:rPr>
          <w:rFonts w:ascii="Calibri" w:hAnsi="Calibri"/>
          <w:b/>
          <w:color w:val="525866"/>
          <w:sz w:val="22"/>
        </w:rPr>
        <w:t xml:space="preserve">Earnings Date: </w:t>
      </w:r>
      <w:r>
        <w:rPr>
          <w:rFonts w:ascii="Calibri" w:hAnsi="Calibri"/>
          <w:color w:val="525866"/>
          <w:sz w:val="22"/>
        </w:rPr>
        <w:t xml:space="preserve">August 6, 2026  </w:t>
      </w:r>
      <w:r>
        <w:rPr>
          <w:rFonts w:ascii="Calibri" w:hAnsi="Calibri"/>
          <w:b/>
          <w:color w:val="525866"/>
          <w:sz w:val="22"/>
        </w:rPr>
        <w:t xml:space="preserve">  |  Prepared: </w:t>
      </w:r>
      <w:r>
        <w:rPr>
          <w:rFonts w:ascii="Calibri" w:hAnsi="Calibri"/>
          <w:color w:val="525866"/>
          <w:sz w:val="22"/>
        </w:rPr>
        <w:t xml:space="preserve">August 4, 2026  </w:t>
      </w:r>
      <w:r>
        <w:rPr>
          <w:rFonts w:ascii="Calibri" w:hAnsi="Calibri"/>
          <w:b/>
          <w:color w:val="525866"/>
          <w:sz w:val="22"/>
        </w:rPr>
        <w:t xml:space="preserve">  |  Reporting Period: </w:t>
      </w:r>
      <w:r>
        <w:rPr>
          <w:rFonts w:ascii="Calibri" w:hAnsi="Calibri"/>
          <w:color w:val="525866"/>
          <w:sz w:val="22"/>
        </w:rPr>
        <w:t xml:space="preserve">Fiscal Q3 2026 (quarter ended June 30, 2026)  </w:t>
      </w:r>
      <w:r>
        <w:rPr>
          <w:rFonts w:ascii="Calibri" w:hAnsi="Calibri"/>
          <w:b/>
          <w:color w:val="525866"/>
          <w:sz w:val="22"/>
        </w:rPr>
        <w:t xml:space="preserve">  |  Exchange: </w:t>
      </w:r>
      <w:r>
        <w:rPr>
          <w:rFonts w:ascii="Calibri" w:hAnsi="Calibri"/>
          <w:color w:val="525866"/>
          <w:sz w:val="22"/>
        </w:rPr>
        <w:t>NYSE: ATO</w:t>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ATO's fiscal Q3 print is modestly constructive — consensus has been revised meaningfully higher since the Q2 beat, but the bar is still beatable given the structural tailwinds from Waha spreads and Rule 77-102 benefits; the single biggest swing factor is whether APT through-system revenues in the June quarter tracked management's guided $0.08–$0.12 second-half contribution.</w:t>
      </w:r>
    </w:p>
    <w:p>
      <w:r>
        <w:rPr>
          <w:rFonts w:ascii="Calibri" w:hAnsi="Calibri"/>
          <w:color w:val="525866"/>
          <w:sz w:val="22"/>
        </w:rPr>
        <w:t xml:space="preserve">Heading into the August 6 print, Atmos Energy faces a consensus EPS bar of approximately </w:t>
      </w:r>
      <w:r>
        <w:rPr>
          <w:rFonts w:ascii="Calibri" w:hAnsi="Calibri"/>
          <w:b/>
          <w:color w:val="525866"/>
          <w:sz w:val="22"/>
        </w:rPr>
        <w:t>$1.02</w:t>
      </w:r>
      <w:r>
        <w:rPr>
          <w:rFonts w:ascii="Calibri" w:hAnsi="Calibri"/>
          <w:color w:val="525866"/>
          <w:sz w:val="22"/>
        </w:rPr>
        <w:t xml:space="preserve"> for fiscal Q3 2026 (quarter ended June 30, 2026), up sharply from the $0.53 estimate that prevailed immediately after the Q2 print — a revision trajectory that reflects the market's growing confidence in the </w:t>
      </w:r>
      <w:r>
        <w:rPr>
          <w:rFonts w:ascii="Calibri" w:hAnsi="Calibri"/>
          <w:b/>
          <w:color w:val="525866"/>
          <w:sz w:val="22"/>
        </w:rPr>
        <w:t>Waha spread tailwind</w:t>
      </w:r>
      <w:r>
        <w:rPr>
          <w:rFonts w:ascii="Calibri" w:hAnsi="Calibri"/>
          <w:color w:val="525866"/>
          <w:sz w:val="22"/>
        </w:rPr>
        <w:t xml:space="preserve"> and the higher-than-originally-planned Rule 77-102 benefit. Management's tone on the May 7 call was notably constructive: the raised FY2026 guidance range of </w:t>
      </w:r>
      <w:r>
        <w:rPr>
          <w:rFonts w:ascii="Calibri" w:hAnsi="Calibri"/>
          <w:b/>
          <w:color w:val="525866"/>
          <w:sz w:val="22"/>
        </w:rPr>
        <w:t>$8.40–$8.50</w:t>
      </w:r>
      <w:r>
        <w:rPr>
          <w:rFonts w:ascii="Calibri" w:hAnsi="Calibri"/>
          <w:color w:val="525866"/>
          <w:sz w:val="22"/>
        </w:rPr>
        <w:t xml:space="preserve"> was described as a "clean launchpad" for 6–8% annual EPS growth into FY2027, with no further rebasing expected — a posture that has not shifted since. Estimate revisions have moved decisively upward since the Q2 print, with the Q3 consensus climbing from $0.53 to $1.02 and the FY2026 consensus now sitting at $8.45, squarely within the raised guidance range, suggesting the street has largely priced in the known tailwinds but left limited room for incremental upside. The stock has underperformed both XLU and the S&amp;P 500 since the May 6 earnings date (ATO −6.6% vs. XLU −3.4% vs. SPY +5.1% through August 4), with multiple compression of roughly 11% on EV/EBITDA over the trailing three months, indicating the market has not yet rewarded the improved earnings trajectory — a setup that could be constructive if the print confirms the guided second-half contribution. The key wildcard is </w:t>
      </w:r>
      <w:r>
        <w:rPr>
          <w:rFonts w:ascii="Calibri" w:hAnsi="Calibri"/>
          <w:b/>
          <w:color w:val="525866"/>
          <w:sz w:val="22"/>
        </w:rPr>
        <w:t>Waha spread normalization</w:t>
      </w:r>
      <w:r>
        <w:rPr>
          <w:rFonts w:ascii="Calibri" w:hAnsi="Calibri"/>
          <w:color w:val="525866"/>
          <w:sz w:val="22"/>
        </w:rPr>
        <w:t>: OKE's Q2 commentary explicitly flagged that Permian takeaway capacity coming online is expected to narrow differentials in the second half, which could pressure APT through-system revenues below the guided range and represent the most meaningful downside risk to the quarter.</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moderately high bar for Q3 given the sharp post-Q2 revision upward, but the FY2026 full-year estimate of $8.45 sits comfortably within the raised $8.40–$8.50 guidance range, leaving limited room for a guidance-driven re-rating. </w:t>
      </w:r>
      <w:r>
        <w:rPr>
          <w:rFonts w:ascii="Calibri" w:hAnsi="Calibri"/>
          <w:b/>
          <w:color w:val="525866"/>
          <w:sz w:val="22"/>
        </w:rPr>
        <w:t>Operating EPS is the primary swing factor</w:t>
      </w:r>
      <w:r>
        <w:rPr>
          <w:rFonts w:ascii="Calibri" w:hAnsi="Calibri"/>
          <w:color w:val="525866"/>
          <w:sz w:val="22"/>
        </w:rPr>
        <w:t>; rate base growth is the structural anchor but moves slowly quarter-to-quarter.</w:t>
      </w:r>
    </w:p>
    <w:p>
      <w:pPr>
        <w:pStyle w:val="Heading3"/>
      </w:pPr>
      <w:r>
        <w:rPr>
          <w:rFonts w:ascii="Calibri" w:hAnsi="Calibri"/>
          <w:b/>
          <w:color w:val="3B4259"/>
          <w:sz w:val="24"/>
        </w:rPr>
        <w:t>Table 1 — Current Quarter Snapshot (Fiscal Q3 2026, Quarter Ended June 30,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Last Quarter Actual (FQ2 2026, ended Mar 31)</w:t>
            </w:r>
          </w:p>
        </w:tc>
        <w:tc>
          <w:tcPr>
            <w:tcW w:type="dxa" w:w="1234"/>
            <w:shd w:val="clear" w:color="auto" w:fill="3B4259"/>
          </w:tcPr>
          <w:p>
            <w:r>
              <w:rPr>
                <w:rFonts w:ascii="Calibri" w:hAnsi="Calibri"/>
                <w:b/>
                <w:color w:val="FFFFFF"/>
                <w:sz w:val="22"/>
              </w:rPr>
              <w:t>Prior Year Period Actual (FQ3 2025, ended Jun 30)</w:t>
            </w:r>
          </w:p>
        </w:tc>
        <w:tc>
          <w:tcPr>
            <w:tcW w:type="dxa" w:w="1234"/>
            <w:shd w:val="clear" w:color="auto" w:fill="3B4259"/>
          </w:tcPr>
          <w:p>
            <w:r>
              <w:rPr>
                <w:rFonts w:ascii="Calibri" w:hAnsi="Calibri"/>
                <w:b/>
                <w:color w:val="FFFFFF"/>
                <w:sz w:val="22"/>
              </w:rPr>
              <w:t>Consensus Estimate (FQ3 2026)</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FY2026 Guidance (Raised May 6)</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EPS — Diluted Operating ($)</w:t>
            </w:r>
          </w:p>
        </w:tc>
        <w:tc>
          <w:tcPr>
            <w:tcW w:type="dxa" w:w="1234"/>
          </w:tcPr>
          <w:p>
            <w:r>
              <w:rPr>
                <w:rFonts w:ascii="Calibri" w:hAnsi="Calibri"/>
                <w:sz w:val="22"/>
              </w:rPr>
              <w:t>$3.47</w:t>
            </w:r>
          </w:p>
        </w:tc>
        <w:tc>
          <w:tcPr>
            <w:tcW w:type="dxa" w:w="1234"/>
          </w:tcPr>
          <w:p>
            <w:r>
              <w:rPr>
                <w:rFonts w:ascii="Calibri" w:hAnsi="Calibri"/>
                <w:sz w:val="22"/>
              </w:rPr>
              <w:t>$1.16</w:t>
            </w:r>
          </w:p>
        </w:tc>
        <w:tc>
          <w:tcPr>
            <w:tcW w:type="dxa" w:w="1234"/>
          </w:tcPr>
          <w:p>
            <w:r>
              <w:rPr>
                <w:rFonts w:ascii="Calibri" w:hAnsi="Calibri"/>
                <w:sz w:val="22"/>
              </w:rPr>
              <w:t>$1.02</w:t>
            </w:r>
          </w:p>
        </w:tc>
        <w:tc>
          <w:tcPr>
            <w:tcW w:type="dxa" w:w="1234"/>
          </w:tcPr>
          <w:p>
            <w:r>
              <w:rPr>
                <w:rFonts w:ascii="Calibri" w:hAnsi="Calibri"/>
                <w:b/>
                <w:color w:val="30A46C"/>
                <w:sz w:val="22"/>
              </w:rPr>
              <w:t>+$0.86 / ~+74%</w:t>
            </w:r>
          </w:p>
        </w:tc>
        <w:tc>
          <w:tcPr>
            <w:tcW w:type="dxa" w:w="1234"/>
          </w:tcPr>
          <w:p>
            <w:r>
              <w:rPr>
                <w:rFonts w:ascii="Calibri" w:hAnsi="Calibri"/>
                <w:sz w:val="22"/>
              </w:rPr>
              <w:t>$8.40–$8.50 (FY); Q3 not separately guided</w:t>
            </w:r>
          </w:p>
        </w:tc>
        <w:tc>
          <w:tcPr>
            <w:tcW w:type="dxa" w:w="1234"/>
          </w:tcPr>
          <w:p>
            <w:r>
              <w:rPr>
                <w:rFonts w:ascii="Calibri" w:hAnsi="Calibri"/>
                <w:sz w:val="22"/>
              </w:rPr>
              <w:t>FY consensus $8.45 vs. midpoint $8.45 = 0%</w:t>
            </w:r>
          </w:p>
        </w:tc>
      </w:tr>
      <w:tr>
        <w:tc>
          <w:tcPr>
            <w:tcW w:type="dxa" w:w="1234"/>
          </w:tcPr>
          <w:p>
            <w:r>
              <w:rPr>
                <w:rFonts w:ascii="Calibri" w:hAnsi="Calibri"/>
                <w:sz w:val="22"/>
              </w:rPr>
              <w:t>Total Revenue ($M)</w:t>
            </w:r>
          </w:p>
        </w:tc>
        <w:tc>
          <w:tcPr>
            <w:tcW w:type="dxa" w:w="1234"/>
          </w:tcPr>
          <w:p>
            <w:r>
              <w:rPr>
                <w:rFonts w:ascii="Calibri" w:hAnsi="Calibri"/>
                <w:sz w:val="22"/>
              </w:rPr>
              <w:t>$1,962.4M</w:t>
            </w:r>
          </w:p>
        </w:tc>
        <w:tc>
          <w:tcPr>
            <w:tcW w:type="dxa" w:w="1234"/>
          </w:tcPr>
          <w:p>
            <w:r>
              <w:rPr>
                <w:rFonts w:ascii="Calibri" w:hAnsi="Calibri"/>
                <w:sz w:val="22"/>
              </w:rPr>
              <w:t>$838.8M</w:t>
            </w:r>
          </w:p>
        </w:tc>
        <w:tc>
          <w:tcPr>
            <w:tcW w:type="dxa" w:w="1234"/>
          </w:tcPr>
          <w:p>
            <w:r>
              <w:rPr>
                <w:rFonts w:ascii="Calibri" w:hAnsi="Calibri"/>
                <w:sz w:val="22"/>
              </w:rPr>
              <w:t>$902.2M</w:t>
            </w:r>
          </w:p>
        </w:tc>
        <w:tc>
          <w:tcPr>
            <w:tcW w:type="dxa" w:w="1234"/>
          </w:tcPr>
          <w:p>
            <w:r>
              <w:rPr>
                <w:rFonts w:ascii="Calibri" w:hAnsi="Calibri"/>
                <w:b/>
                <w:color w:val="30A46C"/>
                <w:sz w:val="22"/>
              </w:rPr>
              <w:t>+$63.4M / +7.6%</w:t>
            </w:r>
          </w:p>
        </w:tc>
        <w:tc>
          <w:tcPr>
            <w:tcW w:type="dxa" w:w="1234"/>
          </w:tcPr>
          <w:p>
            <w:r>
              <w:rPr>
                <w:rFonts w:ascii="Calibri" w:hAnsi="Calibri"/>
                <w:sz w:val="22"/>
              </w:rPr>
              <w:t>FY2026: ~$5.11B consensus</w:t>
            </w:r>
          </w:p>
        </w:tc>
        <w:tc>
          <w:tcPr>
            <w:tcW w:type="dxa" w:w="1234"/>
          </w:tcPr>
          <w:p>
            <w:r>
              <w:rPr>
                <w:rFonts w:ascii="Calibri" w:hAnsi="Calibri"/>
                <w:sz w:val="22"/>
              </w:rPr>
              <w:t>N/A — no quarterly revenue guidance</w:t>
            </w:r>
          </w:p>
        </w:tc>
      </w:tr>
      <w:tr>
        <w:tc>
          <w:tcPr>
            <w:tcW w:type="dxa" w:w="1234"/>
          </w:tcPr>
          <w:p>
            <w:r>
              <w:rPr>
                <w:rFonts w:ascii="Calibri" w:hAnsi="Calibri"/>
                <w:sz w:val="22"/>
              </w:rPr>
              <w:t>Capital Expenditures ($M)</w:t>
            </w:r>
          </w:p>
        </w:tc>
        <w:tc>
          <w:tcPr>
            <w:tcW w:type="dxa" w:w="1234"/>
          </w:tcPr>
          <w:p>
            <w:r>
              <w:rPr>
                <w:rFonts w:ascii="Calibri" w:hAnsi="Calibri"/>
                <w:sz w:val="22"/>
              </w:rPr>
              <w:t>$1,003.6M</w:t>
            </w:r>
          </w:p>
        </w:tc>
        <w:tc>
          <w:tcPr>
            <w:tcW w:type="dxa" w:w="1234"/>
          </w:tcPr>
          <w:p>
            <w:r>
              <w:rPr>
                <w:rFonts w:ascii="Calibri" w:hAnsi="Calibri"/>
                <w:sz w:val="22"/>
              </w:rPr>
              <w:t>$866.9M</w:t>
            </w:r>
          </w:p>
        </w:tc>
        <w:tc>
          <w:tcPr>
            <w:tcW w:type="dxa" w:w="1234"/>
          </w:tcPr>
          <w:p>
            <w:r>
              <w:rPr>
                <w:rFonts w:ascii="Calibri" w:hAnsi="Calibri"/>
                <w:sz w:val="22"/>
              </w:rPr>
              <w:t>$1,037.4M</w:t>
            </w:r>
          </w:p>
        </w:tc>
        <w:tc>
          <w:tcPr>
            <w:tcW w:type="dxa" w:w="1234"/>
          </w:tcPr>
          <w:p>
            <w:r>
              <w:rPr>
                <w:rFonts w:ascii="Calibri" w:hAnsi="Calibri"/>
                <w:b/>
                <w:color w:val="30A46C"/>
                <w:sz w:val="22"/>
              </w:rPr>
              <w:t>+$170.5M / +19.7%</w:t>
            </w:r>
          </w:p>
        </w:tc>
        <w:tc>
          <w:tcPr>
            <w:tcW w:type="dxa" w:w="1234"/>
          </w:tcPr>
          <w:p>
            <w:r>
              <w:rPr>
                <w:rFonts w:ascii="Calibri" w:hAnsi="Calibri"/>
                <w:sz w:val="22"/>
              </w:rPr>
              <w:t>~$4.2B FY2026 (guided)</w:t>
            </w:r>
          </w:p>
        </w:tc>
        <w:tc>
          <w:tcPr>
            <w:tcW w:type="dxa" w:w="1234"/>
          </w:tcPr>
          <w:p>
            <w:r>
              <w:rPr>
                <w:rFonts w:ascii="Calibri" w:hAnsi="Calibri"/>
                <w:sz w:val="22"/>
              </w:rPr>
              <w:t>FY consensus $4.17B vs. $4.2B midpoint = −0.7%</w:t>
            </w:r>
          </w:p>
        </w:tc>
      </w:tr>
      <w:tr>
        <w:tc>
          <w:tcPr>
            <w:tcW w:type="dxa" w:w="1234"/>
          </w:tcPr>
          <w:p>
            <w:r>
              <w:rPr>
                <w:rFonts w:ascii="Calibri" w:hAnsi="Calibri"/>
                <w:sz w:val="22"/>
              </w:rPr>
              <w:t>Ending Rate Base — Distribution ($B)</w:t>
            </w:r>
          </w:p>
        </w:tc>
        <w:tc>
          <w:tcPr>
            <w:tcW w:type="dxa" w:w="1234"/>
          </w:tcPr>
          <w:p>
            <w:r>
              <w:rPr>
                <w:rFonts w:ascii="Calibri" w:hAnsi="Calibri"/>
                <w:sz w:val="22"/>
              </w:rPr>
              <w:t>$14.58B</w:t>
            </w:r>
          </w:p>
        </w:tc>
        <w:tc>
          <w:tcPr>
            <w:tcW w:type="dxa" w:w="1234"/>
          </w:tcPr>
          <w:p>
            <w:r>
              <w:rPr>
                <w:rFonts w:ascii="Calibri" w:hAnsi="Calibri"/>
                <w:sz w:val="22"/>
              </w:rPr>
              <w:t>$13.34B</w:t>
            </w:r>
          </w:p>
        </w:tc>
        <w:tc>
          <w:tcPr>
            <w:tcW w:type="dxa" w:w="1234"/>
          </w:tcPr>
          <w:p>
            <w:r>
              <w:rPr>
                <w:rFonts w:ascii="Calibri" w:hAnsi="Calibri"/>
                <w:sz w:val="22"/>
              </w:rPr>
              <w:t>$15.03B</w:t>
            </w:r>
          </w:p>
        </w:tc>
        <w:tc>
          <w:tcPr>
            <w:tcW w:type="dxa" w:w="1234"/>
          </w:tcPr>
          <w:p>
            <w:r>
              <w:rPr>
                <w:rFonts w:ascii="Calibri" w:hAnsi="Calibri"/>
                <w:b/>
                <w:color w:val="30A46C"/>
                <w:sz w:val="22"/>
              </w:rPr>
              <w:t>+$1.69B / +12.7%</w:t>
            </w:r>
          </w:p>
        </w:tc>
        <w:tc>
          <w:tcPr>
            <w:tcW w:type="dxa" w:w="1234"/>
          </w:tcPr>
          <w:p>
            <w:r>
              <w:rPr>
                <w:rFonts w:ascii="Calibri" w:hAnsi="Calibri"/>
                <w:sz w:val="22"/>
              </w:rPr>
              <w:t>FY2026: ~$18.7B consensus</w:t>
            </w:r>
          </w:p>
        </w:tc>
        <w:tc>
          <w:tcPr>
            <w:tcW w:type="dxa" w:w="1234"/>
          </w:tcPr>
          <w:p>
            <w:r>
              <w:rPr>
                <w:rFonts w:ascii="Calibri" w:hAnsi="Calibri"/>
                <w:sz w:val="22"/>
              </w:rPr>
              <w:t>N/A — no quarterly rate base guidance</w:t>
            </w:r>
          </w:p>
        </w:tc>
      </w:tr>
      <w:tr>
        <w:tc>
          <w:tcPr>
            <w:tcW w:type="dxa" w:w="1234"/>
          </w:tcPr>
          <w:p>
            <w:r>
              <w:rPr>
                <w:rFonts w:ascii="Calibri" w:hAnsi="Calibri"/>
                <w:sz w:val="22"/>
              </w:rPr>
              <w:t>Ending Rate Base — Pipeline ($B)</w:t>
            </w:r>
          </w:p>
        </w:tc>
        <w:tc>
          <w:tcPr>
            <w:tcW w:type="dxa" w:w="1234"/>
          </w:tcPr>
          <w:p>
            <w:r>
              <w:rPr>
                <w:rFonts w:ascii="Calibri" w:hAnsi="Calibri"/>
                <w:sz w:val="22"/>
              </w:rPr>
              <w:t>$6.27B</w:t>
            </w:r>
          </w:p>
        </w:tc>
        <w:tc>
          <w:tcPr>
            <w:tcW w:type="dxa" w:w="1234"/>
          </w:tcPr>
          <w:p>
            <w:r>
              <w:rPr>
                <w:rFonts w:ascii="Calibri" w:hAnsi="Calibri"/>
                <w:sz w:val="22"/>
              </w:rPr>
              <w:t>$5.78B</w:t>
            </w:r>
          </w:p>
        </w:tc>
        <w:tc>
          <w:tcPr>
            <w:tcW w:type="dxa" w:w="1234"/>
          </w:tcPr>
          <w:p>
            <w:r>
              <w:rPr>
                <w:rFonts w:ascii="Calibri" w:hAnsi="Calibri"/>
                <w:sz w:val="22"/>
              </w:rPr>
              <w:t>$6.47B</w:t>
            </w:r>
          </w:p>
        </w:tc>
        <w:tc>
          <w:tcPr>
            <w:tcW w:type="dxa" w:w="1234"/>
          </w:tcPr>
          <w:p>
            <w:r>
              <w:rPr>
                <w:rFonts w:ascii="Calibri" w:hAnsi="Calibri"/>
                <w:b/>
                <w:color w:val="30A46C"/>
                <w:sz w:val="22"/>
              </w:rPr>
              <w:t>+$0.69B / +11.9%</w:t>
            </w:r>
          </w:p>
        </w:tc>
        <w:tc>
          <w:tcPr>
            <w:tcW w:type="dxa" w:w="1234"/>
          </w:tcPr>
          <w:p>
            <w:r>
              <w:rPr>
                <w:rFonts w:ascii="Calibri" w:hAnsi="Calibri"/>
                <w:sz w:val="22"/>
              </w:rPr>
              <w:t>FY2026: ~$6.44B consensus</w:t>
            </w:r>
          </w:p>
        </w:tc>
        <w:tc>
          <w:tcPr>
            <w:tcW w:type="dxa" w:w="1234"/>
          </w:tcPr>
          <w:p>
            <w:r>
              <w:rPr>
                <w:rFonts w:ascii="Calibri" w:hAnsi="Calibri"/>
                <w:sz w:val="22"/>
              </w:rPr>
              <w:t>N/A — no quarterly rate base guidance</w:t>
            </w:r>
          </w:p>
        </w:tc>
      </w:tr>
    </w:tbl>
    <w:p>
      <w:r>
        <w:rPr>
          <w:rFonts w:ascii="Calibri" w:hAnsi="Calibri"/>
          <w:i/>
          <w:color w:val="525866"/>
          <w:sz w:val="22"/>
        </w:rPr>
        <w:t>Source: Visible Alpha Consensus and Actuals Data</w:t>
      </w:r>
      <w:r>
        <w:rPr>
          <w:rFonts w:ascii="Calibri" w:hAnsi="Calibri"/>
          <w:i/>
          <w:color w:val="525866"/>
          <w:sz w:val="22"/>
        </w:rPr>
        <w:t xml:space="preserve"> — EPS – Diluted – Operating($): </w:t>
      </w:r>
      <w:r>
        <w:rPr>
          <w:rFonts w:ascii="Calibri" w:hAnsi="Calibri"/>
          <w:i/>
          <w:color w:val="525866"/>
          <w:sz w:val="22"/>
        </w:rPr>
        <w:t>https://insights.visiblealpha.com/mex/ATO_US/NMV/IS</w:t>
      </w:r>
      <w:r>
        <w:rPr>
          <w:rFonts w:ascii="Calibri" w:hAnsi="Calibri"/>
          <w:i/>
          <w:color w:val="525866"/>
          <w:sz w:val="22"/>
        </w:rPr>
        <w:t xml:space="preserve">; Total Revenue &amp; CapEx: </w:t>
      </w:r>
      <w:r>
        <w:rPr>
          <w:rFonts w:ascii="Calibri" w:hAnsi="Calibri"/>
          <w:i/>
          <w:color w:val="525866"/>
          <w:sz w:val="22"/>
        </w:rPr>
        <w:t>https://insights.visiblealpha.com/mex/ATO_US/NMV/CF</w:t>
      </w:r>
      <w:r>
        <w:rPr>
          <w:rFonts w:ascii="Calibri" w:hAnsi="Calibri"/>
          <w:i/>
          <w:color w:val="525866"/>
          <w:sz w:val="22"/>
        </w:rPr>
        <w:t xml:space="preserve">; Rate Base: </w:t>
      </w:r>
      <w:r>
        <w:rPr>
          <w:rFonts w:ascii="Calibri" w:hAnsi="Calibri"/>
          <w:i/>
          <w:color w:val="525866"/>
          <w:sz w:val="22"/>
        </w:rPr>
        <w:t>https://insights.visiblealpha.com/mex/ATO_US/NMV/RB</w:t>
      </w:r>
      <w:r>
        <w:rPr>
          <w:rFonts w:ascii="Calibri" w:hAnsi="Calibri"/>
          <w:i/>
          <w:color w:val="525866"/>
          <w:sz w:val="22"/>
        </w:rPr>
        <w:t>. FY2026 guidance range from ATO Q2 2026 Earnings Release (May 6, 2026).</w:t>
      </w:r>
    </w:p>
    <w:p>
      <w:pPr>
        <w:pStyle w:val="Heading3"/>
      </w:pPr>
      <w:r>
        <w:rPr>
          <w:rFonts w:ascii="Calibri" w:hAnsi="Calibri"/>
          <w:b/>
          <w:color w:val="3B4259"/>
          <w:sz w:val="24"/>
        </w:rPr>
        <w:t>Table 2 — Beat/Miss History: Operating EPS (Last 8 Quarters)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 (VA Label)</w:t>
            </w:r>
          </w:p>
        </w:tc>
        <w:tc>
          <w:tcPr>
            <w:tcW w:type="dxa" w:w="1440"/>
            <w:shd w:val="clear" w:color="auto" w:fill="3B4259"/>
          </w:tcPr>
          <w:p>
            <w:r>
              <w:rPr>
                <w:rFonts w:ascii="Calibri" w:hAnsi="Calibri"/>
                <w:b/>
                <w:color w:val="FFFFFF"/>
                <w:sz w:val="22"/>
              </w:rPr>
              <w:t>Calendar Period End</w:t>
            </w:r>
          </w:p>
        </w:tc>
        <w:tc>
          <w:tcPr>
            <w:tcW w:type="dxa" w:w="1440"/>
            <w:shd w:val="clear" w:color="auto" w:fill="3B4259"/>
          </w:tcPr>
          <w:p>
            <w:r>
              <w:rPr>
                <w:rFonts w:ascii="Calibri" w:hAnsi="Calibri"/>
                <w:b/>
                <w:color w:val="FFFFFF"/>
                <w:sz w:val="22"/>
              </w:rPr>
              <w:t>Reported EPS ($)</w:t>
            </w:r>
          </w:p>
        </w:tc>
        <w:tc>
          <w:tcPr>
            <w:tcW w:type="dxa" w:w="1440"/>
            <w:shd w:val="clear" w:color="auto" w:fill="3B4259"/>
          </w:tcPr>
          <w:p>
            <w:r>
              <w:rPr>
                <w:rFonts w:ascii="Calibri" w:hAnsi="Calibri"/>
                <w:b/>
                <w:color w:val="FFFFFF"/>
                <w:sz w:val="22"/>
              </w:rPr>
              <w:t>Consensus Est. ($)</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4QFY-2024</w:t>
            </w:r>
          </w:p>
        </w:tc>
        <w:tc>
          <w:tcPr>
            <w:tcW w:type="dxa" w:w="1440"/>
          </w:tcPr>
          <w:p>
            <w:r>
              <w:rPr>
                <w:rFonts w:ascii="Calibri" w:hAnsi="Calibri"/>
                <w:sz w:val="22"/>
              </w:rPr>
              <w:t>Sep 30, 2024</w:t>
            </w:r>
          </w:p>
        </w:tc>
        <w:tc>
          <w:tcPr>
            <w:tcW w:type="dxa" w:w="1440"/>
          </w:tcPr>
          <w:p>
            <w:r>
              <w:rPr>
                <w:rFonts w:ascii="Calibri" w:hAnsi="Calibri"/>
                <w:sz w:val="22"/>
              </w:rPr>
              <w:t>$0.86</w:t>
            </w:r>
          </w:p>
        </w:tc>
        <w:tc>
          <w:tcPr>
            <w:tcW w:type="dxa" w:w="1440"/>
          </w:tcPr>
          <w:p>
            <w:r>
              <w:rPr>
                <w:rFonts w:ascii="Calibri" w:hAnsi="Calibri"/>
                <w:sz w:val="22"/>
              </w:rPr>
              <w:t>$0.82</w:t>
            </w:r>
          </w:p>
        </w:tc>
        <w:tc>
          <w:tcPr>
            <w:tcW w:type="dxa" w:w="1440"/>
          </w:tcPr>
          <w:p>
            <w:r>
              <w:rPr>
                <w:rFonts w:ascii="Calibri" w:hAnsi="Calibri"/>
                <w:b/>
                <w:color w:val="30A46C"/>
                <w:sz w:val="22"/>
              </w:rPr>
              <w:t>+4.9%</w:t>
            </w:r>
          </w:p>
        </w:tc>
        <w:tc>
          <w:tcPr>
            <w:tcW w:type="dxa" w:w="1440"/>
          </w:tcPr>
          <w:p>
            <w:r>
              <w:rPr>
                <w:rFonts w:ascii="Calibri" w:hAnsi="Calibri"/>
                <w:sz w:val="22"/>
              </w:rPr>
              <w:t>Beat</w:t>
            </w:r>
          </w:p>
        </w:tc>
      </w:tr>
      <w:tr>
        <w:tc>
          <w:tcPr>
            <w:tcW w:type="dxa" w:w="1440"/>
          </w:tcPr>
          <w:p>
            <w:r>
              <w:rPr>
                <w:rFonts w:ascii="Calibri" w:hAnsi="Calibri"/>
                <w:sz w:val="22"/>
              </w:rPr>
              <w:t>1QFY-2025</w:t>
            </w:r>
          </w:p>
        </w:tc>
        <w:tc>
          <w:tcPr>
            <w:tcW w:type="dxa" w:w="1440"/>
          </w:tcPr>
          <w:p>
            <w:r>
              <w:rPr>
                <w:rFonts w:ascii="Calibri" w:hAnsi="Calibri"/>
                <w:sz w:val="22"/>
              </w:rPr>
              <w:t>Dec 31, 2024</w:t>
            </w:r>
          </w:p>
        </w:tc>
        <w:tc>
          <w:tcPr>
            <w:tcW w:type="dxa" w:w="1440"/>
          </w:tcPr>
          <w:p>
            <w:r>
              <w:rPr>
                <w:rFonts w:ascii="Calibri" w:hAnsi="Calibri"/>
                <w:sz w:val="22"/>
              </w:rPr>
              <w:t>$2.23</w:t>
            </w:r>
          </w:p>
        </w:tc>
        <w:tc>
          <w:tcPr>
            <w:tcW w:type="dxa" w:w="1440"/>
          </w:tcPr>
          <w:p>
            <w:r>
              <w:rPr>
                <w:rFonts w:ascii="Calibri" w:hAnsi="Calibri"/>
                <w:sz w:val="22"/>
              </w:rPr>
              <w:t>$2.20</w:t>
            </w:r>
          </w:p>
        </w:tc>
        <w:tc>
          <w:tcPr>
            <w:tcW w:type="dxa" w:w="1440"/>
          </w:tcPr>
          <w:p>
            <w:r>
              <w:rPr>
                <w:rFonts w:ascii="Calibri" w:hAnsi="Calibri"/>
                <w:b/>
                <w:color w:val="30A46C"/>
                <w:sz w:val="22"/>
              </w:rPr>
              <w:t>+1.3%</w:t>
            </w:r>
          </w:p>
        </w:tc>
        <w:tc>
          <w:tcPr>
            <w:tcW w:type="dxa" w:w="1440"/>
          </w:tcPr>
          <w:p>
            <w:r>
              <w:rPr>
                <w:rFonts w:ascii="Calibri" w:hAnsi="Calibri"/>
                <w:sz w:val="22"/>
              </w:rPr>
              <w:t>Beat</w:t>
            </w:r>
          </w:p>
        </w:tc>
      </w:tr>
      <w:tr>
        <w:tc>
          <w:tcPr>
            <w:tcW w:type="dxa" w:w="1440"/>
          </w:tcPr>
          <w:p>
            <w:r>
              <w:rPr>
                <w:rFonts w:ascii="Calibri" w:hAnsi="Calibri"/>
                <w:sz w:val="22"/>
              </w:rPr>
              <w:t>2QFY-2025</w:t>
            </w:r>
          </w:p>
        </w:tc>
        <w:tc>
          <w:tcPr>
            <w:tcW w:type="dxa" w:w="1440"/>
          </w:tcPr>
          <w:p>
            <w:r>
              <w:rPr>
                <w:rFonts w:ascii="Calibri" w:hAnsi="Calibri"/>
                <w:sz w:val="22"/>
              </w:rPr>
              <w:t>Mar 31, 2025</w:t>
            </w:r>
          </w:p>
        </w:tc>
        <w:tc>
          <w:tcPr>
            <w:tcW w:type="dxa" w:w="1440"/>
          </w:tcPr>
          <w:p>
            <w:r>
              <w:rPr>
                <w:rFonts w:ascii="Calibri" w:hAnsi="Calibri"/>
                <w:sz w:val="22"/>
              </w:rPr>
              <w:t>$3.03</w:t>
            </w:r>
          </w:p>
        </w:tc>
        <w:tc>
          <w:tcPr>
            <w:tcW w:type="dxa" w:w="1440"/>
          </w:tcPr>
          <w:p>
            <w:r>
              <w:rPr>
                <w:rFonts w:ascii="Calibri" w:hAnsi="Calibri"/>
                <w:sz w:val="22"/>
              </w:rPr>
              <w:t>$2.79</w:t>
            </w:r>
          </w:p>
        </w:tc>
        <w:tc>
          <w:tcPr>
            <w:tcW w:type="dxa" w:w="1440"/>
          </w:tcPr>
          <w:p>
            <w:r>
              <w:rPr>
                <w:rFonts w:ascii="Calibri" w:hAnsi="Calibri"/>
                <w:b/>
                <w:color w:val="30A46C"/>
                <w:sz w:val="22"/>
              </w:rPr>
              <w:t>+8.5%</w:t>
            </w:r>
          </w:p>
        </w:tc>
        <w:tc>
          <w:tcPr>
            <w:tcW w:type="dxa" w:w="1440"/>
          </w:tcPr>
          <w:p>
            <w:r>
              <w:rPr>
                <w:rFonts w:ascii="Calibri" w:hAnsi="Calibri"/>
                <w:sz w:val="22"/>
              </w:rPr>
              <w:t>Beat</w:t>
            </w:r>
          </w:p>
        </w:tc>
      </w:tr>
      <w:tr>
        <w:tc>
          <w:tcPr>
            <w:tcW w:type="dxa" w:w="1440"/>
          </w:tcPr>
          <w:p>
            <w:r>
              <w:rPr>
                <w:rFonts w:ascii="Calibri" w:hAnsi="Calibri"/>
                <w:sz w:val="22"/>
              </w:rPr>
              <w:t>3QFY-2025</w:t>
            </w:r>
          </w:p>
        </w:tc>
        <w:tc>
          <w:tcPr>
            <w:tcW w:type="dxa" w:w="1440"/>
          </w:tcPr>
          <w:p>
            <w:r>
              <w:rPr>
                <w:rFonts w:ascii="Calibri" w:hAnsi="Calibri"/>
                <w:sz w:val="22"/>
              </w:rPr>
              <w:t>Jun 30, 2025</w:t>
            </w:r>
          </w:p>
        </w:tc>
        <w:tc>
          <w:tcPr>
            <w:tcW w:type="dxa" w:w="1440"/>
          </w:tcPr>
          <w:p>
            <w:r>
              <w:rPr>
                <w:rFonts w:ascii="Calibri" w:hAnsi="Calibri"/>
                <w:sz w:val="22"/>
              </w:rPr>
              <w:t>$1.16</w:t>
            </w:r>
          </w:p>
        </w:tc>
        <w:tc>
          <w:tcPr>
            <w:tcW w:type="dxa" w:w="1440"/>
          </w:tcPr>
          <w:p>
            <w:r>
              <w:rPr>
                <w:rFonts w:ascii="Calibri" w:hAnsi="Calibri"/>
                <w:sz w:val="22"/>
              </w:rPr>
              <w:t>$1.17</w:t>
            </w:r>
          </w:p>
        </w:tc>
        <w:tc>
          <w:tcPr>
            <w:tcW w:type="dxa" w:w="1440"/>
          </w:tcPr>
          <w:p>
            <w:r>
              <w:rPr>
                <w:rFonts w:ascii="Calibri" w:hAnsi="Calibri"/>
                <w:b/>
                <w:color w:val="E5484D"/>
                <w:sz w:val="22"/>
              </w:rPr>
              <w:t>−0.9%</w:t>
            </w:r>
          </w:p>
        </w:tc>
        <w:tc>
          <w:tcPr>
            <w:tcW w:type="dxa" w:w="1440"/>
          </w:tcPr>
          <w:p>
            <w:r>
              <w:rPr>
                <w:rFonts w:ascii="Calibri" w:hAnsi="Calibri"/>
                <w:sz w:val="22"/>
              </w:rPr>
              <w:t>Miss</w:t>
            </w:r>
          </w:p>
        </w:tc>
      </w:tr>
      <w:tr>
        <w:tc>
          <w:tcPr>
            <w:tcW w:type="dxa" w:w="1440"/>
          </w:tcPr>
          <w:p>
            <w:r>
              <w:rPr>
                <w:rFonts w:ascii="Calibri" w:hAnsi="Calibri"/>
                <w:sz w:val="22"/>
              </w:rPr>
              <w:t>4QFY-2025</w:t>
            </w:r>
          </w:p>
        </w:tc>
        <w:tc>
          <w:tcPr>
            <w:tcW w:type="dxa" w:w="1440"/>
          </w:tcPr>
          <w:p>
            <w:r>
              <w:rPr>
                <w:rFonts w:ascii="Calibri" w:hAnsi="Calibri"/>
                <w:sz w:val="22"/>
              </w:rPr>
              <w:t>Sep 30, 2025</w:t>
            </w:r>
          </w:p>
        </w:tc>
        <w:tc>
          <w:tcPr>
            <w:tcW w:type="dxa" w:w="1440"/>
          </w:tcPr>
          <w:p>
            <w:r>
              <w:rPr>
                <w:rFonts w:ascii="Calibri" w:hAnsi="Calibri"/>
                <w:sz w:val="22"/>
              </w:rPr>
              <w:t>$1.07</w:t>
            </w:r>
          </w:p>
        </w:tc>
        <w:tc>
          <w:tcPr>
            <w:tcW w:type="dxa" w:w="1440"/>
          </w:tcPr>
          <w:p>
            <w:r>
              <w:rPr>
                <w:rFonts w:ascii="Calibri" w:hAnsi="Calibri"/>
                <w:sz w:val="22"/>
              </w:rPr>
              <w:t>$0.96</w:t>
            </w:r>
          </w:p>
        </w:tc>
        <w:tc>
          <w:tcPr>
            <w:tcW w:type="dxa" w:w="1440"/>
          </w:tcPr>
          <w:p>
            <w:r>
              <w:rPr>
                <w:rFonts w:ascii="Calibri" w:hAnsi="Calibri"/>
                <w:b/>
                <w:color w:val="30A46C"/>
                <w:sz w:val="22"/>
              </w:rPr>
              <w:t>+11.5%</w:t>
            </w:r>
          </w:p>
        </w:tc>
        <w:tc>
          <w:tcPr>
            <w:tcW w:type="dxa" w:w="1440"/>
          </w:tcPr>
          <w:p>
            <w:r>
              <w:rPr>
                <w:rFonts w:ascii="Calibri" w:hAnsi="Calibri"/>
                <w:sz w:val="22"/>
              </w:rPr>
              <w:t>Beat</w:t>
            </w:r>
          </w:p>
        </w:tc>
      </w:tr>
      <w:tr>
        <w:tc>
          <w:tcPr>
            <w:tcW w:type="dxa" w:w="1440"/>
          </w:tcPr>
          <w:p>
            <w:r>
              <w:rPr>
                <w:rFonts w:ascii="Calibri" w:hAnsi="Calibri"/>
                <w:sz w:val="22"/>
              </w:rPr>
              <w:t>1QFY-2026</w:t>
            </w:r>
          </w:p>
        </w:tc>
        <w:tc>
          <w:tcPr>
            <w:tcW w:type="dxa" w:w="1440"/>
          </w:tcPr>
          <w:p>
            <w:r>
              <w:rPr>
                <w:rFonts w:ascii="Calibri" w:hAnsi="Calibri"/>
                <w:sz w:val="22"/>
              </w:rPr>
              <w:t>Dec 31, 2025</w:t>
            </w:r>
          </w:p>
        </w:tc>
        <w:tc>
          <w:tcPr>
            <w:tcW w:type="dxa" w:w="1440"/>
          </w:tcPr>
          <w:p>
            <w:r>
              <w:rPr>
                <w:rFonts w:ascii="Calibri" w:hAnsi="Calibri"/>
                <w:sz w:val="22"/>
              </w:rPr>
              <w:t>$2.44</w:t>
            </w:r>
          </w:p>
        </w:tc>
        <w:tc>
          <w:tcPr>
            <w:tcW w:type="dxa" w:w="1440"/>
          </w:tcPr>
          <w:p>
            <w:r>
              <w:rPr>
                <w:rFonts w:ascii="Calibri" w:hAnsi="Calibri"/>
                <w:sz w:val="22"/>
              </w:rPr>
              <w:t>$2.40</w:t>
            </w:r>
          </w:p>
        </w:tc>
        <w:tc>
          <w:tcPr>
            <w:tcW w:type="dxa" w:w="1440"/>
          </w:tcPr>
          <w:p>
            <w:r>
              <w:rPr>
                <w:rFonts w:ascii="Calibri" w:hAnsi="Calibri"/>
                <w:b/>
                <w:color w:val="30A46C"/>
                <w:sz w:val="22"/>
              </w:rPr>
              <w:t>+1.7%</w:t>
            </w:r>
          </w:p>
        </w:tc>
        <w:tc>
          <w:tcPr>
            <w:tcW w:type="dxa" w:w="1440"/>
          </w:tcPr>
          <w:p>
            <w:r>
              <w:rPr>
                <w:rFonts w:ascii="Calibri" w:hAnsi="Calibri"/>
                <w:sz w:val="22"/>
              </w:rPr>
              <w:t>Beat</w:t>
            </w:r>
          </w:p>
        </w:tc>
      </w:tr>
      <w:tr>
        <w:tc>
          <w:tcPr>
            <w:tcW w:type="dxa" w:w="1440"/>
          </w:tcPr>
          <w:p>
            <w:r>
              <w:rPr>
                <w:rFonts w:ascii="Calibri" w:hAnsi="Calibri"/>
                <w:sz w:val="22"/>
              </w:rPr>
              <w:t>2QFY-2026</w:t>
            </w:r>
          </w:p>
        </w:tc>
        <w:tc>
          <w:tcPr>
            <w:tcW w:type="dxa" w:w="1440"/>
          </w:tcPr>
          <w:p>
            <w:r>
              <w:rPr>
                <w:rFonts w:ascii="Calibri" w:hAnsi="Calibri"/>
                <w:sz w:val="22"/>
              </w:rPr>
              <w:t>Mar 31, 2026</w:t>
            </w:r>
          </w:p>
        </w:tc>
        <w:tc>
          <w:tcPr>
            <w:tcW w:type="dxa" w:w="1440"/>
          </w:tcPr>
          <w:p>
            <w:r>
              <w:rPr>
                <w:rFonts w:ascii="Calibri" w:hAnsi="Calibri"/>
                <w:sz w:val="22"/>
              </w:rPr>
              <w:t>$3.47</w:t>
            </w:r>
          </w:p>
        </w:tc>
        <w:tc>
          <w:tcPr>
            <w:tcW w:type="dxa" w:w="1440"/>
          </w:tcPr>
          <w:p>
            <w:r>
              <w:rPr>
                <w:rFonts w:ascii="Calibri" w:hAnsi="Calibri"/>
                <w:sz w:val="22"/>
              </w:rPr>
              <w:t>$3.49</w:t>
            </w:r>
          </w:p>
        </w:tc>
        <w:tc>
          <w:tcPr>
            <w:tcW w:type="dxa" w:w="1440"/>
          </w:tcPr>
          <w:p>
            <w:r>
              <w:rPr>
                <w:rFonts w:ascii="Calibri" w:hAnsi="Calibri"/>
                <w:b/>
                <w:color w:val="E5484D"/>
                <w:sz w:val="22"/>
              </w:rPr>
              <w:t>−0.6%</w:t>
            </w:r>
          </w:p>
        </w:tc>
        <w:tc>
          <w:tcPr>
            <w:tcW w:type="dxa" w:w="1440"/>
          </w:tcPr>
          <w:p>
            <w:r>
              <w:rPr>
                <w:rFonts w:ascii="Calibri" w:hAnsi="Calibri"/>
                <w:sz w:val="22"/>
              </w:rPr>
              <w:t>Slight Miss (vs. consensus; beat vs. original guidance)</w:t>
            </w:r>
          </w:p>
        </w:tc>
      </w:tr>
      <w:tr>
        <w:tc>
          <w:tcPr>
            <w:tcW w:type="dxa" w:w="1440"/>
          </w:tcPr>
          <w:p>
            <w:r>
              <w:rPr>
                <w:rFonts w:ascii="Calibri" w:hAnsi="Calibri"/>
                <w:sz w:val="22"/>
              </w:rPr>
              <w:t>3QFY-2026 (upcoming)</w:t>
            </w:r>
          </w:p>
        </w:tc>
        <w:tc>
          <w:tcPr>
            <w:tcW w:type="dxa" w:w="1440"/>
          </w:tcPr>
          <w:p>
            <w:r>
              <w:rPr>
                <w:rFonts w:ascii="Calibri" w:hAnsi="Calibri"/>
                <w:sz w:val="22"/>
              </w:rPr>
              <w:t>Jun 30, 2026</w:t>
            </w:r>
          </w:p>
        </w:tc>
        <w:tc>
          <w:tcPr>
            <w:tcW w:type="dxa" w:w="1440"/>
          </w:tcPr>
          <w:p>
            <w:r>
              <w:rPr>
                <w:rFonts w:ascii="Calibri" w:hAnsi="Calibri"/>
                <w:sz w:val="22"/>
              </w:rPr>
              <w:t>—</w:t>
            </w:r>
          </w:p>
        </w:tc>
        <w:tc>
          <w:tcPr>
            <w:tcW w:type="dxa" w:w="1440"/>
          </w:tcPr>
          <w:p>
            <w:r>
              <w:rPr>
                <w:rFonts w:ascii="Calibri" w:hAnsi="Calibri"/>
                <w:sz w:val="22"/>
              </w:rPr>
              <w:t>$1.02</w:t>
            </w:r>
          </w:p>
        </w:tc>
        <w:tc>
          <w:tcPr>
            <w:tcW w:type="dxa" w:w="1440"/>
          </w:tcPr>
          <w:p>
            <w:r>
              <w:rPr>
                <w:rFonts w:ascii="Calibri" w:hAnsi="Calibri"/>
                <w:sz w:val="22"/>
              </w:rPr>
              <w:t>—</w:t>
            </w:r>
          </w:p>
        </w:tc>
        <w:tc>
          <w:tcPr>
            <w:tcW w:type="dxa" w:w="1440"/>
          </w:tcPr>
          <w:p>
            <w:r>
              <w:rPr>
                <w:rFonts w:ascii="Calibri" w:hAnsi="Calibri"/>
                <w:sz w:val="22"/>
              </w:rPr>
              <w:t>Reporting Aug 6</w:t>
            </w:r>
          </w:p>
        </w:tc>
      </w:tr>
    </w:tbl>
    <w:p>
      <w:r>
        <w:rPr>
          <w:rFonts w:ascii="Calibri" w:hAnsi="Calibri"/>
          <w:i/>
          <w:color w:val="525866"/>
          <w:sz w:val="22"/>
        </w:rPr>
        <w:t>Source: Visible Alpha Consensus and Actuals Data — EPS – Diluted – Operating($): https://insights.visiblealpha.com/mex/ATO_US/NMV/IS</w:t>
      </w:r>
    </w:p>
    <w:p>
      <w:r>
        <w:rPr>
          <w:rFonts w:ascii="Calibri" w:hAnsi="Calibri"/>
          <w:b/>
          <w:color w:val="525866"/>
          <w:sz w:val="22"/>
        </w:rPr>
        <w:t xml:space="preserve">Pattern: </w:t>
      </w:r>
      <w:r>
        <w:rPr>
          <w:rFonts w:ascii="Calibri" w:hAnsi="Calibri"/>
          <w:color w:val="525866"/>
          <w:sz w:val="22"/>
        </w:rPr>
        <w:t>ATO has beaten operating EPS consensus in 6 of the last 7 reported quarters, with the two misses being marginal (−0.6% and −0.9%); the company has a strong track record of delivering at or above the bar, particularly in seasonally stronger quarters (Q1 and Q2 of the fiscal year).</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was raised materially at the Q2 print (May 6, 2026) and has not been revised since; the $700M senior notes offering (June 18, 2026) is a capital-markets action that supports the $4.2B capex plan but does not change the earnings outlook. Management tone remains constructive and unchanged.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(Q2 2026 Earnings Call, May 7, 2026)</w:t>
            </w:r>
          </w:p>
        </w:tc>
        <w:tc>
          <w:tcPr>
            <w:tcW w:type="dxa" w:w="1728"/>
            <w:shd w:val="clear" w:color="auto" w:fill="3B4259"/>
          </w:tcPr>
          <w:p>
            <w:r>
              <w:rPr>
                <w:rFonts w:ascii="Calibri" w:hAnsi="Calibri"/>
                <w:b/>
                <w:color w:val="FFFFFF"/>
                <w:sz w:val="22"/>
              </w:rPr>
              <w:t>Revised Guidance (Post-Earnings Event)</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FY2026 EPS — Diluted Operating ($)</w:t>
            </w:r>
          </w:p>
        </w:tc>
        <w:tc>
          <w:tcPr>
            <w:tcW w:type="dxa" w:w="1728"/>
          </w:tcPr>
          <w:p>
            <w:r>
              <w:rPr>
                <w:rFonts w:ascii="Calibri" w:hAnsi="Calibri"/>
                <w:sz w:val="22"/>
              </w:rPr>
              <w:t>$8.40–$8.50 (raised from $8.15–$8.35 at Q1 2026 earnings)</w:t>
            </w:r>
          </w:p>
        </w:tc>
        <w:tc>
          <w:tcPr>
            <w:tcW w:type="dxa" w:w="1728"/>
          </w:tcPr>
          <w:p>
            <w:r>
              <w:rPr>
                <w:rFonts w:ascii="Calibri" w:hAnsi="Calibri"/>
                <w:sz w:val="22"/>
              </w:rPr>
              <w:t>Unchanged</w:t>
            </w:r>
          </w:p>
        </w:tc>
        <w:tc>
          <w:tcPr>
            <w:tcW w:type="dxa" w:w="1728"/>
          </w:tcPr>
          <w:p>
            <w:r>
              <w:rPr>
                <w:rFonts w:ascii="Calibri" w:hAnsi="Calibri"/>
                <w:sz w:val="22"/>
              </w:rPr>
              <w:t>$8.45</w:t>
            </w:r>
          </w:p>
        </w:tc>
        <w:tc>
          <w:tcPr>
            <w:tcW w:type="dxa" w:w="1728"/>
          </w:tcPr>
          <w:p>
            <w:r>
              <w:rPr>
                <w:rFonts w:ascii="Calibri" w:hAnsi="Calibri"/>
                <w:sz w:val="22"/>
              </w:rPr>
              <w:t>Guidance raised $0.25 at midpoint on May 6, 2026 press release; driven by higher Waha spreads and elevated Rule 77-102 benefit ($155M–$165M pretax vs. original plan). No post-earnings revision.</w:t>
            </w:r>
          </w:p>
        </w:tc>
      </w:tr>
      <w:tr>
        <w:tc>
          <w:tcPr>
            <w:tcW w:type="dxa" w:w="1728"/>
          </w:tcPr>
          <w:p>
            <w:r>
              <w:rPr>
                <w:rFonts w:ascii="Calibri" w:hAnsi="Calibri"/>
                <w:sz w:val="22"/>
              </w:rPr>
              <w:t>FY2026 Capital Expenditures</w:t>
            </w:r>
          </w:p>
        </w:tc>
        <w:tc>
          <w:tcPr>
            <w:tcW w:type="dxa" w:w="1728"/>
          </w:tcPr>
          <w:p>
            <w:r>
              <w:rPr>
                <w:rFonts w:ascii="Calibri" w:hAnsi="Calibri"/>
                <w:sz w:val="22"/>
              </w:rPr>
              <w:t>~$4.2 billion</w:t>
            </w:r>
          </w:p>
        </w:tc>
        <w:tc>
          <w:tcPr>
            <w:tcW w:type="dxa" w:w="1728"/>
          </w:tcPr>
          <w:p>
            <w:r>
              <w:rPr>
                <w:rFonts w:ascii="Calibri" w:hAnsi="Calibri"/>
                <w:sz w:val="22"/>
              </w:rPr>
              <w:t>Unchanged</w:t>
            </w:r>
          </w:p>
        </w:tc>
        <w:tc>
          <w:tcPr>
            <w:tcW w:type="dxa" w:w="1728"/>
          </w:tcPr>
          <w:p>
            <w:r>
              <w:rPr>
                <w:rFonts w:ascii="Calibri" w:hAnsi="Calibri"/>
                <w:sz w:val="22"/>
              </w:rPr>
              <w:t>$4.17B</w:t>
            </w:r>
          </w:p>
        </w:tc>
        <w:tc>
          <w:tcPr>
            <w:tcW w:type="dxa" w:w="1728"/>
          </w:tcPr>
          <w:p>
            <w:r>
              <w:rPr>
                <w:rFonts w:ascii="Calibri" w:hAnsi="Calibri"/>
                <w:sz w:val="22"/>
              </w:rPr>
              <w:t>Supported by $700M senior notes offering (priced June 15, 2026; closed June 18, 2026 — effective date June 18, 2026; disclosure date June 18, 2026 via 8-K). Net proceeds ~$693.9M. No change to capex guidance.</w:t>
            </w:r>
          </w:p>
        </w:tc>
      </w:tr>
      <w:tr>
        <w:tc>
          <w:tcPr>
            <w:tcW w:type="dxa" w:w="1728"/>
          </w:tcPr>
          <w:p>
            <w:r>
              <w:rPr>
                <w:rFonts w:ascii="Calibri" w:hAnsi="Calibri"/>
                <w:sz w:val="22"/>
              </w:rPr>
              <w:t>APT Through-System Revenue (H2 FY2026 Contribution)</w:t>
            </w:r>
          </w:p>
        </w:tc>
        <w:tc>
          <w:tcPr>
            <w:tcW w:type="dxa" w:w="1728"/>
          </w:tcPr>
          <w:p>
            <w:r>
              <w:rPr>
                <w:rFonts w:ascii="Calibri" w:hAnsi="Calibri"/>
                <w:sz w:val="22"/>
              </w:rPr>
              <w:t>$0.08–$0.12 additional EPS contribution in H2 FY2026</w:t>
            </w:r>
          </w:p>
        </w:tc>
        <w:tc>
          <w:tcPr>
            <w:tcW w:type="dxa" w:w="1728"/>
          </w:tcPr>
          <w:p>
            <w:r>
              <w:rPr>
                <w:rFonts w:ascii="Calibri" w:hAnsi="Calibri"/>
                <w:sz w:val="22"/>
              </w:rPr>
              <w:t>Unchanged</w:t>
            </w:r>
          </w:p>
        </w:tc>
        <w:tc>
          <w:tcPr>
            <w:tcW w:type="dxa" w:w="1728"/>
          </w:tcPr>
          <w:p>
            <w:r>
              <w:rPr>
                <w:rFonts w:ascii="Calibri" w:hAnsi="Calibri"/>
                <w:sz w:val="22"/>
              </w:rPr>
              <w:t>Embedded in FY2026 EPS consensus</w:t>
            </w:r>
          </w:p>
        </w:tc>
        <w:tc>
          <w:tcPr>
            <w:tcW w:type="dxa" w:w="1728"/>
          </w:tcPr>
          <w:p>
            <w:r>
              <w:rPr>
                <w:rFonts w:ascii="Calibri" w:hAnsi="Calibri"/>
                <w:sz w:val="22"/>
              </w:rPr>
              <w:t>Management guided for additional through-system contribution in H2 but declined to extrapolate Waha spread assumptions into FY2027. Key watch item.</w:t>
            </w:r>
          </w:p>
        </w:tc>
      </w:tr>
      <w:tr>
        <w:tc>
          <w:tcPr>
            <w:tcW w:type="dxa" w:w="1728"/>
          </w:tcPr>
          <w:p>
            <w:r>
              <w:rPr>
                <w:rFonts w:ascii="Calibri" w:hAnsi="Calibri"/>
                <w:sz w:val="22"/>
              </w:rPr>
              <w:t>Rule 77-102 (HB 4384) Full-Year Benefit</w:t>
            </w:r>
          </w:p>
        </w:tc>
        <w:tc>
          <w:tcPr>
            <w:tcW w:type="dxa" w:w="1728"/>
          </w:tcPr>
          <w:p>
            <w:r>
              <w:rPr>
                <w:rFonts w:ascii="Calibri" w:hAnsi="Calibri"/>
                <w:sz w:val="22"/>
              </w:rPr>
              <w:t>$155M–$165M pretax (raised from original plan)</w:t>
            </w:r>
          </w:p>
        </w:tc>
        <w:tc>
          <w:tcPr>
            <w:tcW w:type="dxa" w:w="1728"/>
          </w:tcPr>
          <w:p>
            <w:r>
              <w:rPr>
                <w:rFonts w:ascii="Calibri" w:hAnsi="Calibri"/>
                <w:sz w:val="22"/>
              </w:rPr>
              <w:t>Unchanged</w:t>
            </w:r>
          </w:p>
        </w:tc>
        <w:tc>
          <w:tcPr>
            <w:tcW w:type="dxa" w:w="1728"/>
          </w:tcPr>
          <w:p>
            <w:r>
              <w:rPr>
                <w:rFonts w:ascii="Calibri" w:hAnsi="Calibri"/>
                <w:sz w:val="22"/>
              </w:rPr>
              <w:t>Embedded in FY2026 EPS consensus</w:t>
            </w:r>
          </w:p>
        </w:tc>
        <w:tc>
          <w:tcPr>
            <w:tcW w:type="dxa" w:w="1728"/>
          </w:tcPr>
          <w:p>
            <w:r>
              <w:rPr>
                <w:rFonts w:ascii="Calibri" w:hAnsi="Calibri"/>
                <w:sz w:val="22"/>
              </w:rPr>
              <w:t>Final rulemaking codified during Q2 FY2026. Reclassification of deferrals from interest expense into O&amp;M — presentation change only, no net earnings impact.</w:t>
            </w:r>
          </w:p>
        </w:tc>
      </w:tr>
      <w:tr>
        <w:tc>
          <w:tcPr>
            <w:tcW w:type="dxa" w:w="1728"/>
          </w:tcPr>
          <w:p>
            <w:r>
              <w:rPr>
                <w:rFonts w:ascii="Calibri" w:hAnsi="Calibri"/>
                <w:sz w:val="22"/>
              </w:rPr>
              <w:t>FY2026 O&amp;M Expense</w:t>
            </w:r>
          </w:p>
        </w:tc>
        <w:tc>
          <w:tcPr>
            <w:tcW w:type="dxa" w:w="1728"/>
          </w:tcPr>
          <w:p>
            <w:r>
              <w:rPr>
                <w:rFonts w:ascii="Calibri" w:hAnsi="Calibri"/>
                <w:sz w:val="22"/>
              </w:rPr>
              <w:t>Anticipated decrease in O&amp;M (substantially offset by higher system monitoring/compliance and employee costs)</w:t>
            </w:r>
          </w:p>
        </w:tc>
        <w:tc>
          <w:tcPr>
            <w:tcW w:type="dxa" w:w="1728"/>
          </w:tcPr>
          <w:p>
            <w:r>
              <w:rPr>
                <w:rFonts w:ascii="Calibri" w:hAnsi="Calibri"/>
                <w:sz w:val="22"/>
              </w:rPr>
              <w:t>Unchanged</w:t>
            </w:r>
          </w:p>
        </w:tc>
        <w:tc>
          <w:tcPr>
            <w:tcW w:type="dxa" w:w="1728"/>
          </w:tcPr>
          <w:p>
            <w:r>
              <w:rPr>
                <w:rFonts w:ascii="Calibri" w:hAnsi="Calibri"/>
                <w:sz w:val="22"/>
              </w:rPr>
              <w:t>N/A — not separately tracked in VA consensus</w:t>
            </w:r>
          </w:p>
        </w:tc>
        <w:tc>
          <w:tcPr>
            <w:tcW w:type="dxa" w:w="1728"/>
          </w:tcPr>
          <w:p>
            <w:r>
              <w:rPr>
                <w:rFonts w:ascii="Calibri" w:hAnsi="Calibri"/>
                <w:sz w:val="22"/>
              </w:rPr>
              <w:t>O&amp;M guidance reflects Rule 77-102 reclassification. Interest expense guidance revised to $155M–$160M solely due to reclassification (no net earnings impact).</w:t>
            </w:r>
          </w:p>
        </w:tc>
      </w:tr>
      <w:tr>
        <w:tc>
          <w:tcPr>
            <w:tcW w:type="dxa" w:w="1728"/>
          </w:tcPr>
          <w:p>
            <w:r>
              <w:rPr>
                <w:rFonts w:ascii="Calibri" w:hAnsi="Calibri"/>
                <w:sz w:val="22"/>
              </w:rPr>
              <w:t>Annual Dividend (FY2026)</w:t>
            </w:r>
          </w:p>
        </w:tc>
        <w:tc>
          <w:tcPr>
            <w:tcW w:type="dxa" w:w="1728"/>
          </w:tcPr>
          <w:p>
            <w:r>
              <w:rPr>
                <w:rFonts w:ascii="Calibri" w:hAnsi="Calibri"/>
                <w:sz w:val="22"/>
              </w:rPr>
              <w:t>$4.00 per share (declared at Q2 earnings; +14.9% vs. FY2025)</w:t>
            </w:r>
          </w:p>
        </w:tc>
        <w:tc>
          <w:tcPr>
            <w:tcW w:type="dxa" w:w="1728"/>
          </w:tcPr>
          <w:p>
            <w:r>
              <w:rPr>
                <w:rFonts w:ascii="Calibri" w:hAnsi="Calibri"/>
                <w:sz w:val="22"/>
              </w:rPr>
              <w:t>Unchanged</w:t>
            </w:r>
          </w:p>
        </w:tc>
        <w:tc>
          <w:tcPr>
            <w:tcW w:type="dxa" w:w="1728"/>
          </w:tcPr>
          <w:p>
            <w:r>
              <w:rPr>
                <w:rFonts w:ascii="Calibri" w:hAnsi="Calibri"/>
                <w:sz w:val="22"/>
              </w:rPr>
              <w:t>$4.00</w:t>
            </w:r>
          </w:p>
        </w:tc>
        <w:tc>
          <w:tcPr>
            <w:tcW w:type="dxa" w:w="1728"/>
          </w:tcPr>
          <w:p>
            <w:r>
              <w:rPr>
                <w:rFonts w:ascii="Calibri" w:hAnsi="Calibri"/>
                <w:sz w:val="22"/>
              </w:rPr>
              <w:t>Dividend declared May 6, 2026 (disclosure date = effective date for declaration). Payment/record dates not specified in source documents.</w:t>
            </w:r>
          </w:p>
        </w:tc>
      </w:tr>
    </w:tbl>
    <w:p>
      <w:r>
        <w:rPr>
          <w:rFonts w:ascii="Calibri" w:hAnsi="Calibri"/>
          <w:b/>
          <w:color w:val="525866"/>
          <w:sz w:val="22"/>
        </w:rPr>
        <w:t xml:space="preserve">Sources: </w:t>
      </w:r>
      <w:r>
        <w:rPr>
          <w:rFonts w:ascii="Calibri" w:hAnsi="Calibri"/>
          <w:i/>
          <w:color w:val="525866"/>
          <w:sz w:val="22"/>
        </w:rPr>
        <w:t>ATO Q2 FY2026 Earnings Release (May 6, 2026) and Earnings Call Transcript (May 7, 2026); ATO 8-K filed June 18, 2026 (Senior Notes Offering — effective date June 18, 2026, disclosure date June 18, 2026). Visible Alpha Consensus: https://insights.visiblealpha.com/mex/ATO_US/NMV/IS.</w:t>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Q3 estimates have surged from $0.53 to $1.02 since the Q2 print — a +93% revision — reflecting the market's incorporation of the Waha spread tailwind and Rule 77-102 benefits; FY2026 estimates are now essentially at the guidance midpoint, leaving little room for a guidance-driven re-rating but suggesting the bar is achievable rather than stretched.</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&amp; Period</w:t>
            </w:r>
          </w:p>
        </w:tc>
        <w:tc>
          <w:tcPr>
            <w:tcW w:type="dxa" w:w="1080"/>
            <w:shd w:val="clear" w:color="auto" w:fill="3B4259"/>
          </w:tcPr>
          <w:p>
            <w:r>
              <w:rPr>
                <w:rFonts w:ascii="Calibri" w:hAnsi="Calibri"/>
                <w:b/>
                <w:color w:val="FFFFFF"/>
                <w:sz w:val="22"/>
              </w:rPr>
              <w:t>Estimate ~5 Days Post Q2 Print (as of May 13, 2026)</w:t>
            </w:r>
          </w:p>
        </w:tc>
        <w:tc>
          <w:tcPr>
            <w:tcW w:type="dxa" w:w="1080"/>
            <w:shd w:val="clear" w:color="auto" w:fill="3B4259"/>
          </w:tcPr>
          <w:p>
            <w:r>
              <w:rPr>
                <w:rFonts w:ascii="Calibri" w:hAnsi="Calibri"/>
                <w:b/>
                <w:color w:val="FFFFFF"/>
                <w:sz w:val="22"/>
              </w:rPr>
              <w:t>Current Consensus (Aug 4,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(Q2 Earnings Call, May 7)</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Midpoint</w:t>
            </w:r>
          </w:p>
        </w:tc>
      </w:tr>
      <w:tr>
        <w:tc>
          <w:tcPr>
            <w:tcW w:type="dxa" w:w="1080"/>
          </w:tcPr>
          <w:p>
            <w:r>
              <w:rPr>
                <w:rFonts w:ascii="Calibri" w:hAnsi="Calibri"/>
                <w:sz w:val="22"/>
              </w:rPr>
              <w:t>EPS — Diluted Operating (3QFY-2026)</w:t>
            </w:r>
          </w:p>
        </w:tc>
        <w:tc>
          <w:tcPr>
            <w:tcW w:type="dxa" w:w="1080"/>
          </w:tcPr>
          <w:p>
            <w:r>
              <w:rPr>
                <w:rFonts w:ascii="Calibri" w:hAnsi="Calibri"/>
                <w:sz w:val="22"/>
              </w:rPr>
              <w:t>$0.527</w:t>
            </w:r>
          </w:p>
        </w:tc>
        <w:tc>
          <w:tcPr>
            <w:tcW w:type="dxa" w:w="1080"/>
          </w:tcPr>
          <w:p>
            <w:r>
              <w:rPr>
                <w:rFonts w:ascii="Calibri" w:hAnsi="Calibri"/>
                <w:sz w:val="22"/>
              </w:rPr>
              <w:t>$1.019</w:t>
            </w:r>
          </w:p>
        </w:tc>
        <w:tc>
          <w:tcPr>
            <w:tcW w:type="dxa" w:w="1080"/>
          </w:tcPr>
          <w:p>
            <w:r>
              <w:rPr>
                <w:rFonts w:ascii="Calibri" w:hAnsi="Calibri"/>
                <w:b/>
                <w:color w:val="30A46C"/>
                <w:sz w:val="22"/>
              </w:rPr>
              <w:t>+93.4%</w:t>
            </w:r>
          </w:p>
        </w:tc>
        <w:tc>
          <w:tcPr>
            <w:tcW w:type="dxa" w:w="1080"/>
          </w:tcPr>
          <w:p>
            <w:r>
              <w:rPr>
                <w:rFonts w:ascii="Calibri" w:hAnsi="Calibri"/>
                <w:sz w:val="22"/>
              </w:rPr>
              <w:t>Not separately guided by quarter</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EPS — Diluted Operating (FY2026)</w:t>
            </w:r>
          </w:p>
        </w:tc>
        <w:tc>
          <w:tcPr>
            <w:tcW w:type="dxa" w:w="1080"/>
          </w:tcPr>
          <w:p>
            <w:r>
              <w:rPr>
                <w:rFonts w:ascii="Calibri" w:hAnsi="Calibri"/>
                <w:sz w:val="22"/>
              </w:rPr>
              <w:t>$8.423</w:t>
            </w:r>
          </w:p>
        </w:tc>
        <w:tc>
          <w:tcPr>
            <w:tcW w:type="dxa" w:w="1080"/>
          </w:tcPr>
          <w:p>
            <w:r>
              <w:rPr>
                <w:rFonts w:ascii="Calibri" w:hAnsi="Calibri"/>
                <w:sz w:val="22"/>
              </w:rPr>
              <w:t>$8.452</w:t>
            </w:r>
          </w:p>
        </w:tc>
        <w:tc>
          <w:tcPr>
            <w:tcW w:type="dxa" w:w="1080"/>
          </w:tcPr>
          <w:p>
            <w:r>
              <w:rPr>
                <w:rFonts w:ascii="Calibri" w:hAnsi="Calibri"/>
                <w:sz w:val="22"/>
              </w:rPr>
              <w:t>+0.3%</w:t>
            </w:r>
          </w:p>
        </w:tc>
        <w:tc>
          <w:tcPr>
            <w:tcW w:type="dxa" w:w="1080"/>
          </w:tcPr>
          <w:p>
            <w:r>
              <w:rPr>
                <w:rFonts w:ascii="Calibri" w:hAnsi="Calibri"/>
                <w:sz w:val="22"/>
              </w:rPr>
              <w:t>$8.40–$8.50 (midpoint $8.45)</w:t>
            </w:r>
          </w:p>
        </w:tc>
        <w:tc>
          <w:tcPr>
            <w:tcW w:type="dxa" w:w="1080"/>
          </w:tcPr>
          <w:p>
            <w:r>
              <w:rPr>
                <w:rFonts w:ascii="Calibri" w:hAnsi="Calibri"/>
                <w:sz w:val="22"/>
              </w:rPr>
              <w:t>$8.40–$8.50 (unchanged)</w:t>
            </w:r>
          </w:p>
        </w:tc>
        <w:tc>
          <w:tcPr>
            <w:tcW w:type="dxa" w:w="1080"/>
          </w:tcPr>
          <w:p>
            <w:r>
              <w:rPr>
                <w:rFonts w:ascii="Calibri" w:hAnsi="Calibri"/>
                <w:sz w:val="22"/>
              </w:rPr>
              <w:t>0%</w:t>
            </w:r>
          </w:p>
        </w:tc>
        <w:tc>
          <w:tcPr>
            <w:tcW w:type="dxa" w:w="1080"/>
          </w:tcPr>
          <w:p>
            <w:r>
              <w:rPr>
                <w:rFonts w:ascii="Calibri" w:hAnsi="Calibri"/>
                <w:sz w:val="22"/>
              </w:rPr>
              <w:t>+0.02% above midpoint</w:t>
            </w:r>
          </w:p>
        </w:tc>
      </w:tr>
      <w:tr>
        <w:tc>
          <w:tcPr>
            <w:tcW w:type="dxa" w:w="1080"/>
          </w:tcPr>
          <w:p>
            <w:r>
              <w:rPr>
                <w:rFonts w:ascii="Calibri" w:hAnsi="Calibri"/>
                <w:sz w:val="22"/>
              </w:rPr>
              <w:t>EPS — Diluted Operating (FY2027)</w:t>
            </w:r>
          </w:p>
        </w:tc>
        <w:tc>
          <w:tcPr>
            <w:tcW w:type="dxa" w:w="1080"/>
          </w:tcPr>
          <w:p>
            <w:r>
              <w:rPr>
                <w:rFonts w:ascii="Calibri" w:hAnsi="Calibri"/>
                <w:sz w:val="22"/>
              </w:rPr>
              <w:t>N/A (no as-of data available)</w:t>
            </w:r>
          </w:p>
        </w:tc>
        <w:tc>
          <w:tcPr>
            <w:tcW w:type="dxa" w:w="1080"/>
          </w:tcPr>
          <w:p>
            <w:r>
              <w:rPr>
                <w:rFonts w:ascii="Calibri" w:hAnsi="Calibri"/>
                <w:sz w:val="22"/>
              </w:rPr>
              <w:t>$9.046</w:t>
            </w:r>
          </w:p>
        </w:tc>
        <w:tc>
          <w:tcPr>
            <w:tcW w:type="dxa" w:w="1080"/>
          </w:tcPr>
          <w:p>
            <w:r>
              <w:rPr>
                <w:rFonts w:ascii="Calibri" w:hAnsi="Calibri"/>
                <w:sz w:val="22"/>
              </w:rPr>
              <w:t>N/A</w:t>
            </w:r>
          </w:p>
        </w:tc>
        <w:tc>
          <w:tcPr>
            <w:tcW w:type="dxa" w:w="1080"/>
          </w:tcPr>
          <w:p>
            <w:r>
              <w:rPr>
                <w:rFonts w:ascii="Calibri" w:hAnsi="Calibri"/>
                <w:sz w:val="22"/>
              </w:rPr>
              <w:t>6–8% growth off FY2026 midpoint ($8.97–$9.13 implied)</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$9.046 vs. implied midpoint ~$9.05 = −0.1%</w:t>
            </w:r>
          </w:p>
        </w:tc>
      </w:tr>
      <w:tr>
        <w:tc>
          <w:tcPr>
            <w:tcW w:type="dxa" w:w="1080"/>
          </w:tcPr>
          <w:p>
            <w:r>
              <w:rPr>
                <w:rFonts w:ascii="Calibri" w:hAnsi="Calibri"/>
                <w:sz w:val="22"/>
              </w:rPr>
              <w:t>Total Revenue (3QFY-2026, $M)</w:t>
            </w:r>
          </w:p>
        </w:tc>
        <w:tc>
          <w:tcPr>
            <w:tcW w:type="dxa" w:w="1080"/>
          </w:tcPr>
          <w:p>
            <w:r>
              <w:rPr>
                <w:rFonts w:ascii="Calibri" w:hAnsi="Calibri"/>
                <w:sz w:val="22"/>
              </w:rPr>
              <w:t>$815.7M</w:t>
            </w:r>
          </w:p>
        </w:tc>
        <w:tc>
          <w:tcPr>
            <w:tcW w:type="dxa" w:w="1080"/>
          </w:tcPr>
          <w:p>
            <w:r>
              <w:rPr>
                <w:rFonts w:ascii="Calibri" w:hAnsi="Calibri"/>
                <w:sz w:val="22"/>
              </w:rPr>
              <w:t>$902.2M</w:t>
            </w:r>
          </w:p>
        </w:tc>
        <w:tc>
          <w:tcPr>
            <w:tcW w:type="dxa" w:w="1080"/>
          </w:tcPr>
          <w:p>
            <w:r>
              <w:rPr>
                <w:rFonts w:ascii="Calibri" w:hAnsi="Calibri"/>
                <w:b/>
                <w:color w:val="30A46C"/>
                <w:sz w:val="22"/>
              </w:rPr>
              <w:t>+10.6%</w:t>
            </w:r>
          </w:p>
        </w:tc>
        <w:tc>
          <w:tcPr>
            <w:tcW w:type="dxa" w:w="1080"/>
          </w:tcPr>
          <w:p>
            <w:r>
              <w:rPr>
                <w:rFonts w:ascii="Calibri" w:hAnsi="Calibri"/>
                <w:sz w:val="22"/>
              </w:rPr>
              <w:t>Not separately guided</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Revenue (FY2026, $B)</w:t>
            </w:r>
          </w:p>
        </w:tc>
        <w:tc>
          <w:tcPr>
            <w:tcW w:type="dxa" w:w="1080"/>
          </w:tcPr>
          <w:p>
            <w:r>
              <w:rPr>
                <w:rFonts w:ascii="Calibri" w:hAnsi="Calibri"/>
                <w:sz w:val="22"/>
              </w:rPr>
              <w:t>$4.840B</w:t>
            </w:r>
          </w:p>
        </w:tc>
        <w:tc>
          <w:tcPr>
            <w:tcW w:type="dxa" w:w="1080"/>
          </w:tcPr>
          <w:p>
            <w:r>
              <w:rPr>
                <w:rFonts w:ascii="Calibri" w:hAnsi="Calibri"/>
                <w:sz w:val="22"/>
              </w:rPr>
              <w:t>$5.111B</w:t>
            </w:r>
          </w:p>
        </w:tc>
        <w:tc>
          <w:tcPr>
            <w:tcW w:type="dxa" w:w="1080"/>
          </w:tcPr>
          <w:p>
            <w:r>
              <w:rPr>
                <w:rFonts w:ascii="Calibri" w:hAnsi="Calibri"/>
                <w:b/>
                <w:color w:val="30A46C"/>
                <w:sz w:val="22"/>
              </w:rPr>
              <w:t>+5.6%</w:t>
            </w:r>
          </w:p>
        </w:tc>
        <w:tc>
          <w:tcPr>
            <w:tcW w:type="dxa" w:w="1080"/>
          </w:tcPr>
          <w:p>
            <w:r>
              <w:rPr>
                <w:rFonts w:ascii="Calibri" w:hAnsi="Calibri"/>
                <w:sz w:val="22"/>
              </w:rPr>
              <w:t>Not separately guided</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Capital Expenditures (FY2026, $B)</w:t>
            </w:r>
          </w:p>
        </w:tc>
        <w:tc>
          <w:tcPr>
            <w:tcW w:type="dxa" w:w="1080"/>
          </w:tcPr>
          <w:p>
            <w:r>
              <w:rPr>
                <w:rFonts w:ascii="Calibri" w:hAnsi="Calibri"/>
                <w:sz w:val="22"/>
              </w:rPr>
              <w:t>$4.136B</w:t>
            </w:r>
          </w:p>
        </w:tc>
        <w:tc>
          <w:tcPr>
            <w:tcW w:type="dxa" w:w="1080"/>
          </w:tcPr>
          <w:p>
            <w:r>
              <w:rPr>
                <w:rFonts w:ascii="Calibri" w:hAnsi="Calibri"/>
                <w:sz w:val="22"/>
              </w:rPr>
              <w:t>$4.169B</w:t>
            </w:r>
          </w:p>
        </w:tc>
        <w:tc>
          <w:tcPr>
            <w:tcW w:type="dxa" w:w="1080"/>
          </w:tcPr>
          <w:p>
            <w:r>
              <w:rPr>
                <w:rFonts w:ascii="Calibri" w:hAnsi="Calibri"/>
                <w:sz w:val="22"/>
              </w:rPr>
              <w:t>+0.8%</w:t>
            </w:r>
          </w:p>
        </w:tc>
        <w:tc>
          <w:tcPr>
            <w:tcW w:type="dxa" w:w="1080"/>
          </w:tcPr>
          <w:p>
            <w:r>
              <w:rPr>
                <w:rFonts w:ascii="Calibri" w:hAnsi="Calibri"/>
                <w:sz w:val="22"/>
              </w:rPr>
              <w:t>~$4.2B</w:t>
            </w:r>
          </w:p>
        </w:tc>
        <w:tc>
          <w:tcPr>
            <w:tcW w:type="dxa" w:w="1080"/>
          </w:tcPr>
          <w:p>
            <w:r>
              <w:rPr>
                <w:rFonts w:ascii="Calibri" w:hAnsi="Calibri"/>
                <w:sz w:val="22"/>
              </w:rPr>
              <w:t>~$4.2B (unchanged)</w:t>
            </w:r>
          </w:p>
        </w:tc>
        <w:tc>
          <w:tcPr>
            <w:tcW w:type="dxa" w:w="1080"/>
          </w:tcPr>
          <w:p>
            <w:r>
              <w:rPr>
                <w:rFonts w:ascii="Calibri" w:hAnsi="Calibri"/>
                <w:sz w:val="22"/>
              </w:rPr>
              <w:t>0%</w:t>
            </w:r>
          </w:p>
        </w:tc>
        <w:tc>
          <w:tcPr>
            <w:tcW w:type="dxa" w:w="1080"/>
          </w:tcPr>
          <w:p>
            <w:r>
              <w:rPr>
                <w:rFonts w:ascii="Calibri" w:hAnsi="Calibri"/>
                <w:sz w:val="22"/>
              </w:rPr>
              <w:t>−0.7% below midpoint</w:t>
            </w:r>
          </w:p>
        </w:tc>
      </w:tr>
    </w:tbl>
    <w:p>
      <w:r>
        <w:rPr>
          <w:rFonts w:ascii="Calibri" w:hAnsi="Calibri"/>
          <w:i/>
          <w:color w:val="525866"/>
          <w:sz w:val="22"/>
        </w:rPr>
        <w:t>Source: Visible Alpha Consensus and Actuals Data — EPS – Diluted – Operating($): https://insights.visiblealpha.com/mex/ATO_US/NMV/IS; Total Revenue: https://insights.visiblealpha.com/mex/ATO_US/NMV/IS; Capital Expenditures: https://insights.visiblealpha.com/mex/ATO_US/NMV/CF. As-of date (May 13, 2026) represents ~5 trading days post Q2 print (May 6, 2026). FY2027 guidance implied from management's stated 6–8% annual EPS growth target off FY2026 midpoint.</w:t>
      </w:r>
    </w:p>
    <w:p>
      <w:r>
        <w:rPr>
          <w:rFonts w:ascii="Calibri" w:hAnsi="Calibri"/>
          <w:color w:val="525866"/>
          <w:sz w:val="22"/>
        </w:rPr>
        <w:t>The most striking revision is the Q3 EPS estimate, which nearly doubled from $0.53 to $1.02 in the weeks following the Q2 print as analysts incorporated the Waha spread tailwind and higher Rule 77-102 benefit into their models. FY2026 and FY2027 estimates are now essentially at the guidance midpoints, suggesting the street has fully priced in the known tailwinds — the Q3 print will be a test of whether the guided $0.08–$0.12 H2 APT contribution is tracking.</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ATO has meaningfully underperformed both XLU and the S&amp;P 500 since the May 6 earnings date, driven almost entirely by </w:t>
      </w:r>
      <w:r>
        <w:rPr>
          <w:rFonts w:ascii="Calibri" w:hAnsi="Calibri"/>
          <w:b/>
          <w:color w:val="525866"/>
          <w:sz w:val="22"/>
        </w:rPr>
        <w:t>multiple compression</w:t>
      </w:r>
      <w:r>
        <w:rPr>
          <w:rFonts w:ascii="Calibri" w:hAnsi="Calibri"/>
          <w:color w:val="525866"/>
          <w:sz w:val="22"/>
        </w:rPr>
        <w:t xml:space="preserve"> (−11% on EV/EBITDA over 3 months) rather than earnings deterioration — a setup that could be constructive if the Q3 print confirms the guided H2 trajectory.</w:t>
      </w:r>
    </w:p>
    <w:p>
      <w:pPr>
        <w:pStyle w:val="Heading3"/>
      </w:pPr>
      <w:r>
        <w:rPr>
          <w:rFonts w:ascii="Calibri" w:hAnsi="Calibri"/>
          <w:b/>
          <w:color w:val="3B4259"/>
          <w:sz w:val="24"/>
        </w:rPr>
        <w:t>Indexed Price Performance: ATO vs. XLU vs. S&amp;P 500 (Since May 6, 2026 Last Earnings Date)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ATO (Indexed)</w:t>
            </w:r>
          </w:p>
        </w:tc>
        <w:tc>
          <w:tcPr>
            <w:tcW w:type="dxa" w:w="2160"/>
            <w:shd w:val="clear" w:color="auto" w:fill="3B4259"/>
          </w:tcPr>
          <w:p>
            <w:r>
              <w:rPr>
                <w:rFonts w:ascii="Calibri" w:hAnsi="Calibri"/>
                <w:b/>
                <w:color w:val="FFFFFF"/>
                <w:sz w:val="22"/>
              </w:rPr>
              <w:t>XLU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May 6, 2026 (Base = 100)</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May 29, 2026</w:t>
            </w:r>
          </w:p>
        </w:tc>
        <w:tc>
          <w:tcPr>
            <w:tcW w:type="dxa" w:w="2160"/>
          </w:tcPr>
          <w:p>
            <w:r>
              <w:rPr>
                <w:rFonts w:ascii="Calibri" w:hAnsi="Calibri"/>
                <w:sz w:val="22"/>
              </w:rPr>
              <w:t>91.5</w:t>
            </w:r>
          </w:p>
        </w:tc>
        <w:tc>
          <w:tcPr>
            <w:tcW w:type="dxa" w:w="2160"/>
          </w:tcPr>
          <w:p>
            <w:r>
              <w:rPr>
                <w:rFonts w:ascii="Calibri" w:hAnsi="Calibri"/>
                <w:sz w:val="22"/>
              </w:rPr>
              <w:t>97.2</w:t>
            </w:r>
          </w:p>
        </w:tc>
        <w:tc>
          <w:tcPr>
            <w:tcW w:type="dxa" w:w="2160"/>
          </w:tcPr>
          <w:p>
            <w:r>
              <w:rPr>
                <w:rFonts w:ascii="Calibri" w:hAnsi="Calibri"/>
                <w:sz w:val="22"/>
              </w:rPr>
              <w:t>103.1</w:t>
            </w:r>
          </w:p>
        </w:tc>
      </w:tr>
      <w:tr>
        <w:tc>
          <w:tcPr>
            <w:tcW w:type="dxa" w:w="2160"/>
          </w:tcPr>
          <w:p>
            <w:r>
              <w:rPr>
                <w:rFonts w:ascii="Calibri" w:hAnsi="Calibri"/>
                <w:sz w:val="22"/>
              </w:rPr>
              <w:t>Jun 18, 2026 (Senior Notes Offering Closed)</w:t>
            </w:r>
          </w:p>
        </w:tc>
        <w:tc>
          <w:tcPr>
            <w:tcW w:type="dxa" w:w="2160"/>
          </w:tcPr>
          <w:p>
            <w:r>
              <w:rPr>
                <w:rFonts w:ascii="Calibri" w:hAnsi="Calibri"/>
                <w:sz w:val="22"/>
              </w:rPr>
              <w:t>92.1</w:t>
            </w:r>
          </w:p>
        </w:tc>
        <w:tc>
          <w:tcPr>
            <w:tcW w:type="dxa" w:w="2160"/>
          </w:tcPr>
          <w:p>
            <w:r>
              <w:rPr>
                <w:rFonts w:ascii="Calibri" w:hAnsi="Calibri"/>
                <w:sz w:val="22"/>
              </w:rPr>
              <w:t>97.9</w:t>
            </w:r>
          </w:p>
        </w:tc>
        <w:tc>
          <w:tcPr>
            <w:tcW w:type="dxa" w:w="2160"/>
          </w:tcPr>
          <w:p>
            <w:r>
              <w:rPr>
                <w:rFonts w:ascii="Calibri" w:hAnsi="Calibri"/>
                <w:sz w:val="22"/>
              </w:rPr>
              <w:t>101.8</w:t>
            </w:r>
          </w:p>
        </w:tc>
      </w:tr>
      <w:tr>
        <w:tc>
          <w:tcPr>
            <w:tcW w:type="dxa" w:w="2160"/>
          </w:tcPr>
          <w:p>
            <w:r>
              <w:rPr>
                <w:rFonts w:ascii="Calibri" w:hAnsi="Calibri"/>
                <w:sz w:val="22"/>
              </w:rPr>
              <w:t>Jun 30, 2026</w:t>
            </w:r>
          </w:p>
        </w:tc>
        <w:tc>
          <w:tcPr>
            <w:tcW w:type="dxa" w:w="2160"/>
          </w:tcPr>
          <w:p>
            <w:r>
              <w:rPr>
                <w:rFonts w:ascii="Calibri" w:hAnsi="Calibri"/>
                <w:sz w:val="22"/>
              </w:rPr>
              <w:t>93.2</w:t>
            </w:r>
          </w:p>
        </w:tc>
        <w:tc>
          <w:tcPr>
            <w:tcW w:type="dxa" w:w="2160"/>
          </w:tcPr>
          <w:p>
            <w:r>
              <w:rPr>
                <w:rFonts w:ascii="Calibri" w:hAnsi="Calibri"/>
                <w:sz w:val="22"/>
              </w:rPr>
              <w:t>99.2</w:t>
            </w:r>
          </w:p>
        </w:tc>
        <w:tc>
          <w:tcPr>
            <w:tcW w:type="dxa" w:w="2160"/>
          </w:tcPr>
          <w:p>
            <w:r>
              <w:rPr>
                <w:rFonts w:ascii="Calibri" w:hAnsi="Calibri"/>
                <w:sz w:val="22"/>
              </w:rPr>
              <w:t>101.8</w:t>
            </w:r>
          </w:p>
        </w:tc>
      </w:tr>
      <w:tr>
        <w:tc>
          <w:tcPr>
            <w:tcW w:type="dxa" w:w="2160"/>
          </w:tcPr>
          <w:p>
            <w:r>
              <w:rPr>
                <w:rFonts w:ascii="Calibri" w:hAnsi="Calibri"/>
                <w:sz w:val="22"/>
              </w:rPr>
              <w:t>Jul 13, 2026 (Q3 Earnings Call Announced)</w:t>
            </w:r>
          </w:p>
        </w:tc>
        <w:tc>
          <w:tcPr>
            <w:tcW w:type="dxa" w:w="2160"/>
          </w:tcPr>
          <w:p>
            <w:r>
              <w:rPr>
                <w:rFonts w:ascii="Calibri" w:hAnsi="Calibri"/>
                <w:sz w:val="22"/>
              </w:rPr>
              <w:t>97.2</w:t>
            </w:r>
          </w:p>
        </w:tc>
        <w:tc>
          <w:tcPr>
            <w:tcW w:type="dxa" w:w="2160"/>
          </w:tcPr>
          <w:p>
            <w:r>
              <w:rPr>
                <w:rFonts w:ascii="Calibri" w:hAnsi="Calibri"/>
                <w:sz w:val="22"/>
              </w:rPr>
              <w:t>100.0</w:t>
            </w:r>
          </w:p>
        </w:tc>
        <w:tc>
          <w:tcPr>
            <w:tcW w:type="dxa" w:w="2160"/>
          </w:tcPr>
          <w:p>
            <w:r>
              <w:rPr>
                <w:rFonts w:ascii="Calibri" w:hAnsi="Calibri"/>
                <w:sz w:val="22"/>
              </w:rPr>
              <w:t>102.1</w:t>
            </w:r>
          </w:p>
        </w:tc>
      </w:tr>
      <w:tr>
        <w:tc>
          <w:tcPr>
            <w:tcW w:type="dxa" w:w="2160"/>
          </w:tcPr>
          <w:p>
            <w:r>
              <w:rPr>
                <w:rFonts w:ascii="Calibri" w:hAnsi="Calibri"/>
                <w:sz w:val="22"/>
              </w:rPr>
              <w:t>Aug 4, 2026 (Latest)</w:t>
            </w:r>
          </w:p>
        </w:tc>
        <w:tc>
          <w:tcPr>
            <w:tcW w:type="dxa" w:w="2160"/>
          </w:tcPr>
          <w:p>
            <w:r>
              <w:rPr>
                <w:rFonts w:ascii="Calibri" w:hAnsi="Calibri"/>
                <w:sz w:val="22"/>
              </w:rPr>
              <w:t>93.5</w:t>
            </w:r>
          </w:p>
        </w:tc>
        <w:tc>
          <w:tcPr>
            <w:tcW w:type="dxa" w:w="2160"/>
          </w:tcPr>
          <w:p>
            <w:r>
              <w:rPr>
                <w:rFonts w:ascii="Calibri" w:hAnsi="Calibri"/>
                <w:sz w:val="22"/>
              </w:rPr>
              <w:t>96.7</w:t>
            </w:r>
          </w:p>
        </w:tc>
        <w:tc>
          <w:tcPr>
            <w:tcW w:type="dxa" w:w="2160"/>
          </w:tcPr>
          <w:p>
            <w:r>
              <w:rPr>
                <w:rFonts w:ascii="Calibri" w:hAnsi="Calibri"/>
                <w:sz w:val="22"/>
              </w:rPr>
              <w:t>103.2 (Aug 3 close)</w:t>
            </w:r>
          </w:p>
        </w:tc>
      </w:tr>
    </w:tbl>
    <w:p>
      <w:r>
        <w:rPr>
          <w:rFonts w:ascii="Calibri" w:hAnsi="Calibri"/>
          <w:b/>
          <w:color w:val="525866"/>
          <w:sz w:val="22"/>
        </w:rPr>
        <w:t xml:space="preserve">Note: </w:t>
      </w:r>
      <w:r>
        <w:rPr>
          <w:rFonts w:ascii="Calibri" w:hAnsi="Calibri"/>
          <w:color w:val="525866"/>
          <w:sz w:val="22"/>
        </w:rPr>
        <w:t xml:space="preserve">Indexed to 100 at ATO's last earnings date (May 6, 2026). Sector ETF used: </w:t>
      </w:r>
      <w:r>
        <w:rPr>
          <w:rFonts w:ascii="Calibri" w:hAnsi="Calibri"/>
          <w:b/>
          <w:color w:val="525866"/>
          <w:sz w:val="22"/>
        </w:rPr>
        <w:t>XLU (Utilities Select Sector SPDR Fund)</w:t>
      </w:r>
      <w:r>
        <w:rPr>
          <w:rFonts w:ascii="Calibri" w:hAnsi="Calibri"/>
          <w:color w:val="525866"/>
          <w:sz w:val="22"/>
        </w:rPr>
        <w:t xml:space="preserve"> — appropriate for ATO's regulated natural gas utility sub-sector. ATO closing prices: May 6 = $184.76; Aug 3 = $172.89 (−6.4%). XLU: May 6 = $45.71; Aug 3 = $44.36 (−3.0%). SPY: May 6 = $733.83; Aug 3 = $757.67 (+3.2%). Source: Yahoo Finance / Stock Price Data.</w:t>
      </w:r>
    </w:p>
    <w:p>
      <w:pPr>
        <w:pStyle w:val="Heading3"/>
      </w:pPr>
      <w:r>
        <w:rPr>
          <w:rFonts w:ascii="Calibri" w:hAnsi="Calibri"/>
          <w:b/>
          <w:color w:val="3B4259"/>
          <w:sz w:val="24"/>
        </w:rPr>
        <w:t>Valuation Multiple Decomposition (EV/EBITDA — NTM)</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Horizon</w:t>
            </w:r>
          </w:p>
        </w:tc>
        <w:tc>
          <w:tcPr>
            <w:tcW w:type="dxa" w:w="1440"/>
            <w:shd w:val="clear" w:color="auto" w:fill="3B4259"/>
          </w:tcPr>
          <w:p>
            <w:r>
              <w:rPr>
                <w:rFonts w:ascii="Calibri" w:hAnsi="Calibri"/>
                <w:b/>
                <w:color w:val="FFFFFF"/>
                <w:sz w:val="22"/>
              </w:rPr>
              <w:t>ATO Price Change</w:t>
            </w:r>
          </w:p>
        </w:tc>
        <w:tc>
          <w:tcPr>
            <w:tcW w:type="dxa" w:w="1440"/>
            <w:shd w:val="clear" w:color="auto" w:fill="3B4259"/>
          </w:tcPr>
          <w:p>
            <w:r>
              <w:rPr>
                <w:rFonts w:ascii="Calibri" w:hAnsi="Calibri"/>
                <w:b/>
                <w:color w:val="FFFFFF"/>
                <w:sz w:val="22"/>
              </w:rPr>
              <w:t>NTM EV/EBITDA at Start of Period</w:t>
            </w:r>
          </w:p>
        </w:tc>
        <w:tc>
          <w:tcPr>
            <w:tcW w:type="dxa" w:w="1440"/>
            <w:shd w:val="clear" w:color="auto" w:fill="3B4259"/>
          </w:tcPr>
          <w:p>
            <w:r>
              <w:rPr>
                <w:rFonts w:ascii="Calibri" w:hAnsi="Calibri"/>
                <w:b/>
                <w:color w:val="FFFFFF"/>
                <w:sz w:val="22"/>
              </w:rPr>
              <w:t>NTM EV/EBITDA (Latest: 12.90x)</w:t>
            </w:r>
          </w:p>
        </w:tc>
        <w:tc>
          <w:tcPr>
            <w:tcW w:type="dxa" w:w="1440"/>
            <w:shd w:val="clear" w:color="auto" w:fill="3B4259"/>
          </w:tcPr>
          <w:p>
            <w:r>
              <w:rPr>
                <w:rFonts w:ascii="Calibri" w:hAnsi="Calibri"/>
                <w:b/>
                <w:color w:val="FFFFFF"/>
                <w:sz w:val="22"/>
              </w:rPr>
              <w:t>Multiple Change</w:t>
            </w:r>
          </w:p>
        </w:tc>
        <w:tc>
          <w:tcPr>
            <w:tcW w:type="dxa" w:w="1440"/>
            <w:shd w:val="clear" w:color="auto" w:fill="3B4259"/>
          </w:tcPr>
          <w:p>
            <w:r>
              <w:rPr>
                <w:rFonts w:ascii="Calibri" w:hAnsi="Calibri"/>
                <w:b/>
                <w:color w:val="FFFFFF"/>
                <w:sz w:val="22"/>
              </w:rPr>
              <w:t>Interpretation</w:t>
            </w:r>
          </w:p>
        </w:tc>
      </w:tr>
      <w:tr>
        <w:tc>
          <w:tcPr>
            <w:tcW w:type="dxa" w:w="1440"/>
          </w:tcPr>
          <w:p>
            <w:r>
              <w:rPr>
                <w:rFonts w:ascii="Calibri" w:hAnsi="Calibri"/>
                <w:sz w:val="22"/>
              </w:rPr>
              <w:t>1 Month</w:t>
            </w:r>
          </w:p>
        </w:tc>
        <w:tc>
          <w:tcPr>
            <w:tcW w:type="dxa" w:w="1440"/>
          </w:tcPr>
          <w:p>
            <w:r>
              <w:rPr>
                <w:rFonts w:ascii="Calibri" w:hAnsi="Calibri"/>
                <w:sz w:val="22"/>
              </w:rPr>
              <w:t>−0.7%</w:t>
            </w:r>
          </w:p>
        </w:tc>
        <w:tc>
          <w:tcPr>
            <w:tcW w:type="dxa" w:w="1440"/>
          </w:tcPr>
          <w:p>
            <w:r>
              <w:rPr>
                <w:rFonts w:ascii="Calibri" w:hAnsi="Calibri"/>
                <w:sz w:val="22"/>
              </w:rPr>
              <w:t>13.31x</w:t>
            </w:r>
          </w:p>
        </w:tc>
        <w:tc>
          <w:tcPr>
            <w:tcW w:type="dxa" w:w="1440"/>
          </w:tcPr>
          <w:p>
            <w:r>
              <w:rPr>
                <w:rFonts w:ascii="Calibri" w:hAnsi="Calibri"/>
                <w:sz w:val="22"/>
              </w:rPr>
              <w:t>12.90x</w:t>
            </w:r>
          </w:p>
        </w:tc>
        <w:tc>
          <w:tcPr>
            <w:tcW w:type="dxa" w:w="1440"/>
          </w:tcPr>
          <w:p>
            <w:r>
              <w:rPr>
                <w:rFonts w:ascii="Calibri" w:hAnsi="Calibri"/>
                <w:b/>
                <w:color w:val="E5484D"/>
                <w:sz w:val="22"/>
              </w:rPr>
              <w:t>−3.1%</w:t>
            </w:r>
          </w:p>
        </w:tc>
        <w:tc>
          <w:tcPr>
            <w:tcW w:type="dxa" w:w="1440"/>
          </w:tcPr>
          <w:p>
            <w:r>
              <w:rPr>
                <w:rFonts w:ascii="Calibri" w:hAnsi="Calibri"/>
                <w:sz w:val="22"/>
              </w:rPr>
              <w:t>Multiple compression driving all of the decline; earnings estimates stable</w:t>
            </w:r>
          </w:p>
        </w:tc>
      </w:tr>
      <w:tr>
        <w:tc>
          <w:tcPr>
            <w:tcW w:type="dxa" w:w="1440"/>
          </w:tcPr>
          <w:p>
            <w:r>
              <w:rPr>
                <w:rFonts w:ascii="Calibri" w:hAnsi="Calibri"/>
                <w:sz w:val="22"/>
              </w:rPr>
              <w:t>3 Months</w:t>
            </w:r>
          </w:p>
        </w:tc>
        <w:tc>
          <w:tcPr>
            <w:tcW w:type="dxa" w:w="1440"/>
          </w:tcPr>
          <w:p>
            <w:r>
              <w:rPr>
                <w:rFonts w:ascii="Calibri" w:hAnsi="Calibri"/>
                <w:sz w:val="22"/>
              </w:rPr>
              <w:t>−8.0%</w:t>
            </w:r>
          </w:p>
        </w:tc>
        <w:tc>
          <w:tcPr>
            <w:tcW w:type="dxa" w:w="1440"/>
          </w:tcPr>
          <w:p>
            <w:r>
              <w:rPr>
                <w:rFonts w:ascii="Calibri" w:hAnsi="Calibri"/>
                <w:sz w:val="22"/>
              </w:rPr>
              <w:t>14.48x</w:t>
            </w:r>
          </w:p>
        </w:tc>
        <w:tc>
          <w:tcPr>
            <w:tcW w:type="dxa" w:w="1440"/>
          </w:tcPr>
          <w:p>
            <w:r>
              <w:rPr>
                <w:rFonts w:ascii="Calibri" w:hAnsi="Calibri"/>
                <w:sz w:val="22"/>
              </w:rPr>
              <w:t>12.90x</w:t>
            </w:r>
          </w:p>
        </w:tc>
        <w:tc>
          <w:tcPr>
            <w:tcW w:type="dxa" w:w="1440"/>
          </w:tcPr>
          <w:p>
            <w:r>
              <w:rPr>
                <w:rFonts w:ascii="Calibri" w:hAnsi="Calibri"/>
                <w:b/>
                <w:color w:val="E5484D"/>
                <w:sz w:val="22"/>
              </w:rPr>
              <w:t>−10.9%</w:t>
            </w:r>
          </w:p>
        </w:tc>
        <w:tc>
          <w:tcPr>
            <w:tcW w:type="dxa" w:w="1440"/>
          </w:tcPr>
          <w:p>
            <w:r>
              <w:rPr>
                <w:rFonts w:ascii="Calibri" w:hAnsi="Calibri"/>
                <w:sz w:val="22"/>
              </w:rPr>
              <w:t>Significant de-rating; stock underperformed despite rising EPS estimates</w:t>
            </w:r>
          </w:p>
        </w:tc>
      </w:tr>
      <w:tr>
        <w:tc>
          <w:tcPr>
            <w:tcW w:type="dxa" w:w="1440"/>
          </w:tcPr>
          <w:p>
            <w:r>
              <w:rPr>
                <w:rFonts w:ascii="Calibri" w:hAnsi="Calibri"/>
                <w:sz w:val="22"/>
              </w:rPr>
              <w:t>6 Months</w:t>
            </w:r>
          </w:p>
        </w:tc>
        <w:tc>
          <w:tcPr>
            <w:tcW w:type="dxa" w:w="1440"/>
          </w:tcPr>
          <w:p>
            <w:r>
              <w:rPr>
                <w:rFonts w:ascii="Calibri" w:hAnsi="Calibri"/>
                <w:sz w:val="22"/>
              </w:rPr>
              <w:t>+3.7%</w:t>
            </w:r>
          </w:p>
        </w:tc>
        <w:tc>
          <w:tcPr>
            <w:tcW w:type="dxa" w:w="1440"/>
          </w:tcPr>
          <w:p>
            <w:r>
              <w:rPr>
                <w:rFonts w:ascii="Calibri" w:hAnsi="Calibri"/>
                <w:sz w:val="22"/>
              </w:rPr>
              <w:t>13.38x</w:t>
            </w:r>
          </w:p>
        </w:tc>
        <w:tc>
          <w:tcPr>
            <w:tcW w:type="dxa" w:w="1440"/>
          </w:tcPr>
          <w:p>
            <w:r>
              <w:rPr>
                <w:rFonts w:ascii="Calibri" w:hAnsi="Calibri"/>
                <w:sz w:val="22"/>
              </w:rPr>
              <w:t>12.90x</w:t>
            </w:r>
          </w:p>
        </w:tc>
        <w:tc>
          <w:tcPr>
            <w:tcW w:type="dxa" w:w="1440"/>
          </w:tcPr>
          <w:p>
            <w:r>
              <w:rPr>
                <w:rFonts w:ascii="Calibri" w:hAnsi="Calibri"/>
                <w:b/>
                <w:color w:val="E5484D"/>
                <w:sz w:val="22"/>
              </w:rPr>
              <w:t>−3.5%</w:t>
            </w:r>
          </w:p>
        </w:tc>
        <w:tc>
          <w:tcPr>
            <w:tcW w:type="dxa" w:w="1440"/>
          </w:tcPr>
          <w:p>
            <w:r>
              <w:rPr>
                <w:rFonts w:ascii="Calibri" w:hAnsi="Calibri"/>
                <w:sz w:val="22"/>
              </w:rPr>
              <w:t>Modest price gain despite multiple compression — earnings growth offset the de-rating</w:t>
            </w:r>
          </w:p>
        </w:tc>
      </w:tr>
      <w:tr>
        <w:tc>
          <w:tcPr>
            <w:tcW w:type="dxa" w:w="1440"/>
          </w:tcPr>
          <w:p>
            <w:r>
              <w:rPr>
                <w:rFonts w:ascii="Calibri" w:hAnsi="Calibri"/>
                <w:sz w:val="22"/>
              </w:rPr>
              <w:t>12 Months</w:t>
            </w:r>
          </w:p>
        </w:tc>
        <w:tc>
          <w:tcPr>
            <w:tcW w:type="dxa" w:w="1440"/>
          </w:tcPr>
          <w:p>
            <w:r>
              <w:rPr>
                <w:rFonts w:ascii="Calibri" w:hAnsi="Calibri"/>
                <w:sz w:val="22"/>
              </w:rPr>
              <w:t>+10.8%</w:t>
            </w:r>
          </w:p>
        </w:tc>
        <w:tc>
          <w:tcPr>
            <w:tcW w:type="dxa" w:w="1440"/>
          </w:tcPr>
          <w:p>
            <w:r>
              <w:rPr>
                <w:rFonts w:ascii="Calibri" w:hAnsi="Calibri"/>
                <w:sz w:val="22"/>
              </w:rPr>
              <w:t>12.90x</w:t>
            </w:r>
          </w:p>
        </w:tc>
        <w:tc>
          <w:tcPr>
            <w:tcW w:type="dxa" w:w="1440"/>
          </w:tcPr>
          <w:p>
            <w:r>
              <w:rPr>
                <w:rFonts w:ascii="Calibri" w:hAnsi="Calibri"/>
                <w:sz w:val="22"/>
              </w:rPr>
              <w:t>12.90x</w:t>
            </w:r>
          </w:p>
        </w:tc>
        <w:tc>
          <w:tcPr>
            <w:tcW w:type="dxa" w:w="1440"/>
          </w:tcPr>
          <w:p>
            <w:r>
              <w:rPr>
                <w:rFonts w:ascii="Calibri" w:hAnsi="Calibri"/>
                <w:sz w:val="22"/>
              </w:rPr>
              <w:t>+0.0%</w:t>
            </w:r>
          </w:p>
        </w:tc>
        <w:tc>
          <w:tcPr>
            <w:tcW w:type="dxa" w:w="1440"/>
          </w:tcPr>
          <w:p>
            <w:r>
              <w:rPr>
                <w:rFonts w:ascii="Calibri" w:hAnsi="Calibri"/>
                <w:sz w:val="22"/>
              </w:rPr>
              <w:t>12-month gain driven entirely by earnings growth; multiple flat over the year</w:t>
            </w:r>
          </w:p>
        </w:tc>
      </w:tr>
    </w:tbl>
    <w:p>
      <w:r>
        <w:rPr>
          <w:rFonts w:ascii="Calibri" w:hAnsi="Calibri"/>
          <w:color w:val="525866"/>
          <w:sz w:val="22"/>
        </w:rPr>
        <w:t>The 3-month underperformance is driven almost entirely by multiple compression (−10.9% on EV/EBITDA) rather than earnings deterioration — in fact, EPS estimates have risen sharply over the same period. This disconnect between rising estimates and a falling multiple suggests the market is discounting the sustainability of the Waha spread tailwind into FY2027, consistent with management's own reluctance to embed Waha assumptions into forward guidance. A Q3 print that confirms the guided H2 APT contribution could catalyze a partial re-rating.</w:t>
      </w:r>
    </w:p>
    <w:p>
      <w:r>
        <w:br w:type="page"/>
      </w:r>
    </w:p>
    <w:p>
      <w:pPr>
        <w:pStyle w:val="Heading2"/>
      </w:pPr>
      <w:r>
        <w:rPr>
          <w:rFonts w:ascii="Calibri" w:hAnsi="Calibri"/>
          <w:b/>
          <w:color w:val="3B4259"/>
          <w:sz w:val="28"/>
        </w:rPr>
        <w:t>6. Material News &amp; Developments (Since May 6, 2026)</w:t>
      </w:r>
    </w:p>
    <w:p>
      <w:r>
        <w:rPr>
          <w:rFonts w:ascii="Calibri" w:hAnsi="Calibri"/>
          <w:b/>
          <w:color w:val="525866"/>
          <w:sz w:val="22"/>
        </w:rPr>
        <w:t xml:space="preserve">Key Takeaway: </w:t>
      </w:r>
      <w:r>
        <w:rPr>
          <w:rFonts w:ascii="Calibri" w:hAnsi="Calibri"/>
          <w:color w:val="525866"/>
          <w:sz w:val="22"/>
        </w:rPr>
        <w:t>The most important development is the $700M senior notes offering (June 18, 2026), which de-risks the FY2026 capex funding plan and extends the balance sheet runway into FY2027; no material negative developments have emerged since the Q2 print.</w:t>
      </w:r>
    </w:p>
    <w:p>
      <w:pPr>
        <w:pStyle w:val="ListBullet"/>
        <w:ind w:left="360" w:hanging="360"/>
      </w:pPr>
      <w:r>
        <w:rPr>
          <w:rFonts w:ascii="Calibri" w:hAnsi="Calibri"/>
          <w:b/>
          <w:color w:val="525866"/>
          <w:sz w:val="22"/>
        </w:rPr>
        <w:t>June 18, 2026 — ATO Completes $700M Senior Notes Offering (4.750% due 2032).</w:t>
      </w:r>
      <w:r>
        <w:rPr>
          <w:rFonts w:ascii="Calibri" w:hAnsi="Calibri"/>
          <w:color w:val="525866"/>
          <w:sz w:val="22"/>
        </w:rPr>
        <w:t xml:space="preserve"> Effective date: June 18, 2026 (closing); disclosure date: June 15, 2026 (pricing 8-K) and June 18, 2026 (closing 8-K). Net proceeds ~$693.9M. Underwritten by J.P. Morgan, Mizuho, and Wells Fargo. </w:t>
      </w:r>
      <w:r>
        <w:rPr>
          <w:rFonts w:ascii="Calibri" w:hAnsi="Calibri"/>
          <w:b/>
          <w:color w:val="525866"/>
          <w:sz w:val="22"/>
        </w:rPr>
        <w:t>Implication:</w:t>
      </w:r>
      <w:r>
        <w:rPr>
          <w:rFonts w:ascii="Calibri" w:hAnsi="Calibri"/>
          <w:color w:val="525866"/>
          <w:sz w:val="22"/>
        </w:rPr>
        <w:t xml:space="preserve"> Fully funds the remainder of FY2026 equity/debt needs and a portion of FY2027, consistent with management's May 7 commentary that the company was "fully priced for fiscal 2026" and had "a significant portion established for fiscal 2027." No change to earnings guidance.</w:t>
      </w:r>
    </w:p>
    <w:p>
      <w:pPr>
        <w:pStyle w:val="ListBullet"/>
        <w:ind w:left="360" w:hanging="360"/>
      </w:pPr>
      <w:r>
        <w:rPr>
          <w:rFonts w:ascii="Calibri" w:hAnsi="Calibri"/>
          <w:b/>
          <w:color w:val="525866"/>
          <w:sz w:val="22"/>
        </w:rPr>
        <w:t>July 9, 2026 — ATO Announces Q3 FY2026 Earnings Call Scheduled for August 6, 2026.</w:t>
      </w:r>
      <w:r>
        <w:rPr>
          <w:rFonts w:ascii="Calibri" w:hAnsi="Calibri"/>
          <w:color w:val="525866"/>
          <w:sz w:val="22"/>
        </w:rPr>
        <w:t xml:space="preserve"> Press release confirms 10:00 AM ET call. No pre-announcement or guidance update included. </w:t>
      </w:r>
      <w:r>
        <w:rPr>
          <w:rFonts w:ascii="Calibri" w:hAnsi="Calibri"/>
          <w:b/>
          <w:color w:val="525866"/>
          <w:sz w:val="22"/>
        </w:rPr>
        <w:t>Implication:</w:t>
      </w:r>
      <w:r>
        <w:rPr>
          <w:rFonts w:ascii="Calibri" w:hAnsi="Calibri"/>
          <w:color w:val="525866"/>
          <w:sz w:val="22"/>
        </w:rPr>
        <w:t xml:space="preserve"> Routine scheduling; absence of pre-announcement is consistent with results tracking within the guided range.</w:t>
      </w:r>
    </w:p>
    <w:p>
      <w:pPr>
        <w:pStyle w:val="ListBullet"/>
        <w:ind w:left="360" w:hanging="360"/>
      </w:pPr>
      <w:r>
        <w:rPr>
          <w:rFonts w:ascii="Calibri" w:hAnsi="Calibri"/>
          <w:b/>
          <w:color w:val="525866"/>
          <w:sz w:val="22"/>
        </w:rPr>
        <w:t>July 22–August 4, 2026 — Elevated Oil/Gas Price Environment from U.S.-Iran Conflict.</w:t>
      </w:r>
      <w:r>
        <w:rPr>
          <w:rFonts w:ascii="Calibri" w:hAnsi="Calibri"/>
          <w:color w:val="525866"/>
          <w:sz w:val="22"/>
        </w:rPr>
        <w:t xml:space="preserve"> Brent crude averaged ~$89–$100/bbl during the period; Waha-Katy spreads remained elevated but showed signs of narrowing as Permian takeaway capacity came online (per OKE Q2 commentary). </w:t>
      </w:r>
      <w:r>
        <w:rPr>
          <w:rFonts w:ascii="Calibri" w:hAnsi="Calibri"/>
          <w:b/>
          <w:color w:val="525866"/>
          <w:sz w:val="22"/>
        </w:rPr>
        <w:t>Implication:</w:t>
      </w:r>
      <w:r>
        <w:rPr>
          <w:rFonts w:ascii="Calibri" w:hAnsi="Calibri"/>
          <w:color w:val="525866"/>
          <w:sz w:val="22"/>
        </w:rPr>
        <w:t xml:space="preserve"> Elevated Waha spreads are a tailwind for APT through-system revenues in Q3, but OKE's explicit guidance for lower H2 earnings as differentials narrow is a key risk to the upper end of ATO's guided $0.08–$0.12 H2 contribution.</w:t>
      </w:r>
    </w:p>
    <w:p>
      <w:pPr>
        <w:pStyle w:val="ListBullet"/>
        <w:ind w:left="360" w:hanging="360"/>
      </w:pPr>
      <w:r>
        <w:rPr>
          <w:rFonts w:ascii="Calibri" w:hAnsi="Calibri"/>
          <w:b/>
          <w:color w:val="525866"/>
          <w:sz w:val="22"/>
        </w:rPr>
        <w:t>July 29–August 4, 2026 — Utility Sector Peer Earnings Wave.</w:t>
      </w:r>
      <w:r>
        <w:rPr>
          <w:rFonts w:ascii="Calibri" w:hAnsi="Calibri"/>
          <w:color w:val="525866"/>
          <w:sz w:val="22"/>
        </w:rPr>
        <w:t xml:space="preserve"> Multiple regulated utility peers (WEC, ETR, AEE, SO, DUK, PNW, PEG, EXC, LNT, CMS, CNP, FE, DTE, XEL, ES, AEP, EIX) reported Q2 2026 results. AEP raised guidance; Dominion beat on data center demand. </w:t>
      </w:r>
      <w:r>
        <w:rPr>
          <w:rFonts w:ascii="Calibri" w:hAnsi="Calibri"/>
          <w:b/>
          <w:color w:val="525866"/>
          <w:sz w:val="22"/>
        </w:rPr>
        <w:t>Implication:</w:t>
      </w:r>
      <w:r>
        <w:rPr>
          <w:rFonts w:ascii="Calibri" w:hAnsi="Calibri"/>
          <w:color w:val="525866"/>
          <w:sz w:val="22"/>
        </w:rPr>
        <w:t xml:space="preserve"> Broadly constructive read-through for regulated utility earnings quality; no sector-wide negative surprises that would pressure ATO's print.</w:t>
      </w:r>
    </w:p>
    <w:p>
      <w:pPr>
        <w:pStyle w:val="ListBullet"/>
        <w:ind w:left="360" w:hanging="360"/>
      </w:pPr>
      <w:r>
        <w:rPr>
          <w:rFonts w:ascii="Calibri" w:hAnsi="Calibri"/>
          <w:b/>
          <w:color w:val="525866"/>
          <w:sz w:val="22"/>
        </w:rPr>
        <w:t>August 3, 2026 — WEC Energy Investor Meeting Presentation.</w:t>
      </w:r>
      <w:r>
        <w:rPr>
          <w:rFonts w:ascii="Calibri" w:hAnsi="Calibri"/>
          <w:color w:val="525866"/>
          <w:sz w:val="22"/>
        </w:rPr>
        <w:t xml:space="preserve"> WEC disclosed investor meeting materials (8-K filed August 3, 2026). </w:t>
      </w:r>
      <w:r>
        <w:rPr>
          <w:rFonts w:ascii="Calibri" w:hAnsi="Calibri"/>
          <w:b/>
          <w:color w:val="525866"/>
          <w:sz w:val="22"/>
        </w:rPr>
        <w:t>Implication:</w:t>
      </w:r>
      <w:r>
        <w:rPr>
          <w:rFonts w:ascii="Calibri" w:hAnsi="Calibri"/>
          <w:color w:val="525866"/>
          <w:sz w:val="22"/>
        </w:rPr>
        <w:t xml:space="preserve"> Constructive tone from a Midwest gas utility peer; no negative read-through for ATO.</w:t>
      </w:r>
    </w:p>
    <w:p>
      <w:pPr>
        <w:pStyle w:val="ListBullet"/>
        <w:ind w:left="360" w:hanging="360"/>
      </w:pPr>
      <w:r>
        <w:rPr>
          <w:rFonts w:ascii="Calibri" w:hAnsi="Calibri"/>
          <w:b/>
          <w:color w:val="525866"/>
          <w:sz w:val="22"/>
        </w:rPr>
        <w:t>August 3, 2026 — ONEOK (OKE) Raises 2026 Financial Guidance After Q2 Results.</w:t>
      </w:r>
      <w:r>
        <w:rPr>
          <w:rFonts w:ascii="Calibri" w:hAnsi="Calibri"/>
          <w:color w:val="525866"/>
          <w:sz w:val="22"/>
        </w:rPr>
        <w:t xml:space="preserve"> OKE raised FY2026 guidance for the second time, citing record NGL throughput and strong Permian volumes. However, OKE explicitly guided for </w:t>
      </w:r>
      <w:r>
        <w:rPr>
          <w:rFonts w:ascii="Calibri" w:hAnsi="Calibri"/>
          <w:b/>
          <w:color w:val="525866"/>
          <w:sz w:val="22"/>
        </w:rPr>
        <w:t>lower H2 earnings as Permian takeaway capacity enters service and Waha differentials narrow.</w:t>
      </w:r>
      <w:r>
        <w:rPr>
          <w:rFonts w:ascii="Calibri" w:hAnsi="Calibri"/>
          <w:color w:val="525866"/>
          <w:sz w:val="22"/>
        </w:rPr>
        <w:t xml:space="preserve"> Implication: Mixed read-through for ATO — strong overall gas infrastructure demand is positive, but Waha spread normalization is a direct risk to APT through-system revenues.</w:t>
      </w:r>
    </w:p>
    <w:p>
      <w:pPr>
        <w:pStyle w:val="ListBullet"/>
        <w:ind w:left="360" w:hanging="360"/>
      </w:pPr>
      <w:r>
        <w:rPr>
          <w:rFonts w:ascii="Calibri" w:hAnsi="Calibri"/>
          <w:b/>
          <w:color w:val="525866"/>
          <w:sz w:val="22"/>
        </w:rPr>
        <w:t>August 3, 2026 — Williams Companies (WMB) Acquires Momentum Midstream for ~$5.5B.</w:t>
      </w:r>
      <w:r>
        <w:rPr>
          <w:rFonts w:ascii="Calibri" w:hAnsi="Calibri"/>
          <w:color w:val="525866"/>
          <w:sz w:val="22"/>
        </w:rPr>
        <w:t xml:space="preserve"> WMB announced the acquisition alongside two new pipeline expansion projects (Shelby Connector, Delta Access). </w:t>
      </w:r>
      <w:r>
        <w:rPr>
          <w:rFonts w:ascii="Calibri" w:hAnsi="Calibri"/>
          <w:b/>
          <w:color w:val="525866"/>
          <w:sz w:val="22"/>
        </w:rPr>
        <w:t>Implication:</w:t>
      </w:r>
      <w:r>
        <w:rPr>
          <w:rFonts w:ascii="Calibri" w:hAnsi="Calibri"/>
          <w:color w:val="525866"/>
          <w:sz w:val="22"/>
        </w:rPr>
        <w:t xml:space="preserve"> Confirms robust long-term natural gas infrastructure demand in the Haynesville/Gulf Coast corridor; no direct impact on ATO's regulated distribution business.</w:t>
      </w:r>
    </w:p>
    <w:p>
      <w:pPr>
        <w:pStyle w:val="ListBullet"/>
        <w:ind w:left="360" w:hanging="360"/>
      </w:pPr>
      <w:r>
        <w:rPr>
          <w:rFonts w:ascii="Calibri" w:hAnsi="Calibri"/>
          <w:b/>
          <w:color w:val="525866"/>
          <w:sz w:val="22"/>
        </w:rPr>
        <w:t>July 28, 2026 — CMS Energy Forecasts 2027 Profit Below Estimates; Exits Non-Utility Renewables.</w:t>
      </w:r>
      <w:r>
        <w:rPr>
          <w:rFonts w:ascii="Calibri" w:hAnsi="Calibri"/>
          <w:color w:val="525866"/>
          <w:sz w:val="22"/>
        </w:rPr>
        <w:t xml:space="preserve"> CMS 2027 EPS midpoint of $4.13 missed consensus of $4.17. </w:t>
      </w:r>
      <w:r>
        <w:rPr>
          <w:rFonts w:ascii="Calibri" w:hAnsi="Calibri"/>
          <w:b/>
          <w:color w:val="525866"/>
          <w:sz w:val="22"/>
        </w:rPr>
        <w:t>Implication:</w:t>
      </w:r>
      <w:r>
        <w:rPr>
          <w:rFonts w:ascii="Calibri" w:hAnsi="Calibri"/>
          <w:color w:val="525866"/>
          <w:sz w:val="22"/>
        </w:rPr>
        <w:t xml:space="preserve"> Isolated to CMS's specific business mix; no read-through for ATO's pure-play regulated gas model.</w:t>
      </w:r>
    </w:p>
    <w:p>
      <w:pPr>
        <w:pStyle w:val="ListBullet"/>
        <w:ind w:left="360" w:hanging="360"/>
      </w:pPr>
      <w:r>
        <w:rPr>
          <w:rFonts w:ascii="Calibri" w:hAnsi="Calibri"/>
          <w:b/>
          <w:color w:val="525866"/>
          <w:sz w:val="22"/>
        </w:rPr>
        <w:t>July 28, 2026 — CenterPoint Energy (CNP) Prices $700M Junior Subordinated Notes.</w:t>
      </w:r>
      <w:r>
        <w:rPr>
          <w:rFonts w:ascii="Calibri" w:hAnsi="Calibri"/>
          <w:color w:val="525866"/>
          <w:sz w:val="22"/>
        </w:rPr>
        <w:t xml:space="preserve"> CNP priced $700M 6.400% Junior Subordinated Notes due 2058 (8-K July 31, 2026). </w:t>
      </w:r>
      <w:r>
        <w:rPr>
          <w:rFonts w:ascii="Calibri" w:hAnsi="Calibri"/>
          <w:b/>
          <w:color w:val="525866"/>
          <w:sz w:val="22"/>
        </w:rPr>
        <w:t>Implication:</w:t>
      </w:r>
      <w:r>
        <w:rPr>
          <w:rFonts w:ascii="Calibri" w:hAnsi="Calibri"/>
          <w:color w:val="525866"/>
          <w:sz w:val="22"/>
        </w:rPr>
        <w:t xml:space="preserve"> Confirms active capital markets for regulated utility debt; supportive context for ATO's own June 2026 notes offering.</w:t>
      </w:r>
    </w:p>
    <w:p>
      <w:r>
        <w:br w:type="page"/>
      </w:r>
    </w:p>
    <w:p>
      <w:pPr>
        <w:pStyle w:val="Heading2"/>
      </w:pPr>
      <w:r>
        <w:rPr>
          <w:rFonts w:ascii="Calibri" w:hAnsi="Calibri"/>
          <w:b/>
          <w:color w:val="3B4259"/>
          <w:sz w:val="28"/>
        </w:rPr>
        <w:t>7. Insider Transaction Activity (Since May 6, 2026)</w:t>
      </w:r>
    </w:p>
    <w:p>
      <w:r>
        <w:rPr>
          <w:rFonts w:ascii="Calibri" w:hAnsi="Calibri"/>
          <w:b/>
          <w:color w:val="525866"/>
          <w:sz w:val="22"/>
        </w:rPr>
        <w:t xml:space="preserve">Key Takeaway: </w:t>
      </w:r>
      <w:r>
        <w:rPr>
          <w:rFonts w:ascii="Calibri" w:hAnsi="Calibri"/>
          <w:color w:val="525866"/>
          <w:sz w:val="22"/>
        </w:rPr>
        <w:t>No open-market insider buys or discretionary sells were identified for ATO in the period since the Q2 earnings date (May 6, 2026) through August 4, 2026. The absence of insider activity is neither a positive nor negative signal for the upcoming print.</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No open-market buys or sells (Form 4 codes P/S) identified for ATO in the May 6 – August 4, 2026 window. No 10b5-1 plan initiations disclosed.</w:t>
            </w:r>
          </w:p>
        </w:tc>
      </w:tr>
    </w:tbl>
    <w:p>
      <w:r>
        <w:rPr>
          <w:rFonts w:ascii="Calibri" w:hAnsi="Calibri"/>
          <w:i/>
          <w:color w:val="525866"/>
          <w:sz w:val="22"/>
        </w:rPr>
        <w:t>Source: SEC Form 4 / Form 144 database query for ATO, May 6 – August 4, 2026. No transactions matching open-market buy (code P) or open-market sell (code S) were returned. The absence of insider activity in the pre-earnings window is consistent with typical quiet-period practices for regulated utilities.</w:t>
      </w:r>
    </w:p>
    <w:p>
      <w:r>
        <w:br w:type="page"/>
      </w:r>
    </w:p>
    <w:p>
      <w:pPr>
        <w:pStyle w:val="Heading2"/>
      </w:pPr>
      <w:r>
        <w:rPr>
          <w:rFonts w:ascii="Calibri" w:hAnsi="Calibri"/>
          <w:b/>
          <w:color w:val="3B4259"/>
          <w:sz w:val="28"/>
        </w:rPr>
        <w:t>8. Peer Commentary Read-Through (Last 60 Days — Current Reporting Period Only)</w:t>
      </w:r>
    </w:p>
    <w:p>
      <w:r>
        <w:rPr>
          <w:rFonts w:ascii="Calibri" w:hAnsi="Calibri"/>
          <w:b/>
          <w:color w:val="525866"/>
          <w:sz w:val="22"/>
        </w:rPr>
        <w:t xml:space="preserve">Scope Note: </w:t>
      </w:r>
      <w:r>
        <w:rPr>
          <w:rFonts w:ascii="Calibri" w:hAnsi="Calibri"/>
          <w:color w:val="525866"/>
          <w:sz w:val="22"/>
        </w:rPr>
        <w:t xml:space="preserve">This section includes only peer commentary and results pertaining to the </w:t>
      </w:r>
      <w:r>
        <w:rPr>
          <w:rFonts w:ascii="Calibri" w:hAnsi="Calibri"/>
          <w:b/>
          <w:color w:val="525866"/>
          <w:sz w:val="22"/>
        </w:rPr>
        <w:t>current reporting period ended June 30, 2026</w:t>
      </w:r>
      <w:r>
        <w:rPr>
          <w:rFonts w:ascii="Calibri" w:hAnsi="Calibri"/>
          <w:color w:val="525866"/>
          <w:sz w:val="22"/>
        </w:rPr>
        <w:t xml:space="preserve"> (ATO's fiscal Q3 2026). Prior-quarter results commentary (i.e., peers discussing their own Q1 2026 or earlier results) is explicitly excluded. All peers below reported Q2 2026 calendar results (April–June 2026), which directly overlaps with ATO's fiscal Q3 2026 (April–June 2026). Read-through is labeled as </w:t>
      </w:r>
      <w:r>
        <w:rPr>
          <w:rFonts w:ascii="Calibri" w:hAnsi="Calibri"/>
          <w:b/>
          <w:color w:val="525866"/>
          <w:sz w:val="22"/>
        </w:rPr>
        <w:t>Direct</w:t>
      </w:r>
      <w:r>
        <w:rPr>
          <w:rFonts w:ascii="Calibri" w:hAnsi="Calibri"/>
          <w:color w:val="525866"/>
          <w:sz w:val="22"/>
        </w:rPr>
        <w:t xml:space="preserve"> (same geography/business line) or </w:t>
      </w:r>
      <w:r>
        <w:rPr>
          <w:rFonts w:ascii="Calibri" w:hAnsi="Calibri"/>
          <w:b/>
          <w:color w:val="525866"/>
          <w:sz w:val="22"/>
        </w:rPr>
        <w:t>Indirect</w:t>
      </w:r>
      <w:r>
        <w:rPr>
          <w:rFonts w:ascii="Calibri" w:hAnsi="Calibri"/>
          <w:color w:val="525866"/>
          <w:sz w:val="22"/>
        </w:rPr>
        <w:t xml:space="preserve"> (broader market signal).</w:t>
      </w:r>
    </w:p>
    <w:p>
      <w:pPr>
        <w:pStyle w:val="Heading3"/>
      </w:pPr>
      <w:r>
        <w:rPr>
          <w:rFonts w:ascii="Calibri" w:hAnsi="Calibri"/>
          <w:b/>
          <w:color w:val="3B4259"/>
          <w:sz w:val="24"/>
        </w:rPr>
        <w:t>8.1 ONE Gas (OGS) — Q2 2026 Results (Quarter Ended June 30, 2026)</w:t>
      </w:r>
    </w:p>
    <w:p>
      <w:r>
        <w:rPr>
          <w:rFonts w:ascii="Calibri" w:hAnsi="Calibri"/>
          <w:b/>
          <w:color w:val="525866"/>
          <w:sz w:val="22"/>
        </w:rPr>
        <w:t xml:space="preserve">Report Date: </w:t>
      </w:r>
      <w:r>
        <w:rPr>
          <w:rFonts w:ascii="Calibri" w:hAnsi="Calibri"/>
          <w:color w:val="525866"/>
          <w:sz w:val="22"/>
        </w:rPr>
        <w:t xml:space="preserve">August 4, 2026  |  Read-Through Type: </w:t>
      </w:r>
      <w:r>
        <w:rPr>
          <w:rFonts w:ascii="Calibri" w:hAnsi="Calibri"/>
          <w:b/>
          <w:color w:val="525866"/>
          <w:sz w:val="22"/>
        </w:rPr>
        <w:t>Direct</w:t>
      </w:r>
      <w:r>
        <w:rPr>
          <w:rFonts w:ascii="Calibri" w:hAnsi="Calibri"/>
          <w:color w:val="525866"/>
          <w:sz w:val="22"/>
        </w:rPr>
        <w:t xml:space="preserve"> (regulated natural gas distribution utility; overlapping Texas and Oklahoma service territories)</w:t>
      </w:r>
    </w:p>
    <w:p>
      <w:r>
        <w:rPr>
          <w:rFonts w:ascii="Calibri" w:hAnsi="Calibri"/>
          <w:color w:val="525866"/>
          <w:sz w:val="22"/>
        </w:rPr>
        <w:t>Key Read-Through Points:</w:t>
      </w:r>
    </w:p>
    <w:p>
      <w:pPr>
        <w:pStyle w:val="ListBullet"/>
        <w:ind w:left="360" w:hanging="360"/>
      </w:pPr>
      <w:r>
        <w:rPr>
          <w:rFonts w:ascii="Calibri" w:hAnsi="Calibri"/>
          <w:b/>
          <w:color w:val="525866"/>
          <w:sz w:val="22"/>
        </w:rPr>
        <w:t xml:space="preserve">Weather was significantly warmer than normal in Q2 2026 (April–June): </w:t>
      </w:r>
      <w:r>
        <w:rPr>
          <w:rFonts w:ascii="Calibri" w:hAnsi="Calibri"/>
          <w:color w:val="525866"/>
          <w:sz w:val="22"/>
        </w:rPr>
        <w:t xml:space="preserve">OGS reported weather 42% warmer than normal and 28% warmer than the prior year in Q2 2026. Texas was 37% warmer than normal; Oklahoma was 45% warmer than normal. Actual heating degree days were 392 vs. a normal of 678. </w:t>
      </w:r>
      <w:r>
        <w:rPr>
          <w:rFonts w:ascii="Calibri" w:hAnsi="Calibri"/>
          <w:b/>
          <w:color w:val="525866"/>
          <w:sz w:val="22"/>
        </w:rPr>
        <w:t>ATO Read-Through (Direct):</w:t>
      </w:r>
      <w:r>
        <w:rPr>
          <w:rFonts w:ascii="Calibri" w:hAnsi="Calibri"/>
          <w:color w:val="525866"/>
          <w:sz w:val="22"/>
        </w:rPr>
        <w:t xml:space="preserve"> ATO's distribution segment serves overlapping Texas and southern states geographies. Warmer-than-normal weather in Q3 FY2026 (April–June) would reduce residential and commercial heating volumes. However, ATO has weather normalization mechanisms in place (similar to OGS), which should mitigate the direct earnings impact. The OGS result confirms that weather was a headwind for the quarter but not a catastrophic one given regulatory protections.</w:t>
      </w:r>
    </w:p>
    <w:p>
      <w:pPr>
        <w:pStyle w:val="ListBullet"/>
        <w:ind w:left="360" w:hanging="360"/>
      </w:pPr>
      <w:r>
        <w:rPr>
          <w:rFonts w:ascii="Calibri" w:hAnsi="Calibri"/>
          <w:b/>
          <w:color w:val="525866"/>
          <w:sz w:val="22"/>
        </w:rPr>
        <w:t xml:space="preserve">Customer growth remained positive despite volume headwinds: </w:t>
      </w:r>
      <w:r>
        <w:rPr>
          <w:rFonts w:ascii="Calibri" w:hAnsi="Calibri"/>
          <w:color w:val="525866"/>
          <w:sz w:val="22"/>
        </w:rPr>
        <w:t xml:space="preserve">OGS reported residential sales revenue increased $1.4M in Q2 2026 despite lower volumes, driven by net customer growth in Oklahoma and Texas. Year-to-date residential sales revenue increased $3.2M. </w:t>
      </w:r>
      <w:r>
        <w:rPr>
          <w:rFonts w:ascii="Calibri" w:hAnsi="Calibri"/>
          <w:b/>
          <w:color w:val="525866"/>
          <w:sz w:val="22"/>
        </w:rPr>
        <w:t>ATO Read-Through (Direct):</w:t>
      </w:r>
      <w:r>
        <w:rPr>
          <w:rFonts w:ascii="Calibri" w:hAnsi="Calibri"/>
          <w:color w:val="525866"/>
          <w:sz w:val="22"/>
        </w:rPr>
        <w:t xml:space="preserve"> Consistent with ATO's own trajectory of adding 51,000+ new customers in the 12 months ended March 31, 2026 (39,000+ in Texas). Customer growth is a structural tailwind that partially offsets weather-driven volume weakness.</w:t>
      </w:r>
    </w:p>
    <w:p>
      <w:pPr>
        <w:pStyle w:val="ListBullet"/>
        <w:ind w:left="360" w:hanging="360"/>
      </w:pPr>
      <w:r>
        <w:rPr>
          <w:rFonts w:ascii="Calibri" w:hAnsi="Calibri"/>
          <w:b/>
          <w:color w:val="525866"/>
          <w:sz w:val="22"/>
        </w:rPr>
        <w:t xml:space="preserve">Texas regulatory environment remains constructive: </w:t>
      </w:r>
      <w:r>
        <w:rPr>
          <w:rFonts w:ascii="Calibri" w:hAnsi="Calibri"/>
          <w:color w:val="525866"/>
          <w:sz w:val="22"/>
        </w:rPr>
        <w:t xml:space="preserve">OGS's Texas Gas Service received approval of a $36.9M revenue increase from the Texas Railroad Commission in June 2026, effective July 2026. This is a Gas Reliability Infrastructure Program (GRIP) filing. </w:t>
      </w:r>
      <w:r>
        <w:rPr>
          <w:rFonts w:ascii="Calibri" w:hAnsi="Calibri"/>
          <w:b/>
          <w:color w:val="525866"/>
          <w:sz w:val="22"/>
        </w:rPr>
        <w:t>ATO Read-Through (Direct):</w:t>
      </w:r>
      <w:r>
        <w:rPr>
          <w:rFonts w:ascii="Calibri" w:hAnsi="Calibri"/>
          <w:color w:val="525866"/>
          <w:sz w:val="22"/>
        </w:rPr>
        <w:t xml:space="preserve"> A positive signal for the Texas regulatory environment. ATO's APT segment has a $112M annualized operating income filing pending before the Texas Railroad Commission (scheduled for consideration May 12, 2026 per Q2 call). A constructive Texas regulatory outcome for OGS supports the view that ATO's own filings are likely to receive favorable treatment.</w:t>
      </w:r>
    </w:p>
    <w:p>
      <w:pPr>
        <w:pStyle w:val="ListBullet"/>
        <w:ind w:left="360" w:hanging="360"/>
      </w:pPr>
      <w:r>
        <w:rPr>
          <w:rFonts w:ascii="Calibri" w:hAnsi="Calibri"/>
          <w:b/>
          <w:color w:val="525866"/>
          <w:sz w:val="22"/>
        </w:rPr>
        <w:t xml:space="preserve">OGS raised 2026 guidance to upper half of prior range: </w:t>
      </w:r>
      <w:r>
        <w:rPr>
          <w:rFonts w:ascii="Calibri" w:hAnsi="Calibri"/>
          <w:color w:val="525866"/>
          <w:sz w:val="22"/>
        </w:rPr>
        <w:t xml:space="preserve">OGS raised its 2026 adjusted earnings expectations to the upper half of its $306M–$314M adjusted net income range and $4.83–$4.95 EPS range, citing HB 4384 benefits and strong execution. </w:t>
      </w:r>
      <w:r>
        <w:rPr>
          <w:rFonts w:ascii="Calibri" w:hAnsi="Calibri"/>
          <w:b/>
          <w:color w:val="525866"/>
          <w:sz w:val="22"/>
        </w:rPr>
        <w:t>ATO Read-Through (Direct):</w:t>
      </w:r>
      <w:r>
        <w:rPr>
          <w:rFonts w:ascii="Calibri" w:hAnsi="Calibri"/>
          <w:color w:val="525866"/>
          <w:sz w:val="22"/>
        </w:rPr>
        <w:t xml:space="preserve"> OGS and ATO both benefit from Texas HB 4384 capital recovery mechanics. OGS's ability to raise guidance despite warmer weather is a constructive read-through for ATO's own ability to deliver within its raised $8.40–$8.50 FY2026 guidance range.</w:t>
      </w:r>
    </w:p>
    <w:p>
      <w:pPr>
        <w:pStyle w:val="ListBullet"/>
        <w:ind w:left="360" w:hanging="360"/>
      </w:pPr>
      <w:r>
        <w:rPr>
          <w:rFonts w:ascii="Calibri" w:hAnsi="Calibri"/>
          <w:b/>
          <w:color w:val="525866"/>
          <w:sz w:val="22"/>
        </w:rPr>
        <w:t xml:space="preserve">No Permian/Waha commentary from OGS: </w:t>
      </w:r>
      <w:r>
        <w:rPr>
          <w:rFonts w:ascii="Calibri" w:hAnsi="Calibri"/>
          <w:color w:val="525866"/>
          <w:sz w:val="22"/>
        </w:rPr>
        <w:t xml:space="preserve">OGS's earnings release contained no commentary on Permian or Waha constraints/spreads, consistent with OGS's distribution-only business model. </w:t>
      </w:r>
      <w:r>
        <w:rPr>
          <w:rFonts w:ascii="Calibri" w:hAnsi="Calibri"/>
          <w:b/>
          <w:color w:val="525866"/>
          <w:sz w:val="22"/>
        </w:rPr>
        <w:t>ATO Read-Through:</w:t>
      </w:r>
      <w:r>
        <w:rPr>
          <w:rFonts w:ascii="Calibri" w:hAnsi="Calibri"/>
          <w:color w:val="525866"/>
          <w:sz w:val="22"/>
        </w:rPr>
        <w:t xml:space="preserve"> Not applicable for OGS; see OKE and KMI below for Waha read-through.</w:t>
      </w:r>
    </w:p>
    <w:p>
      <w:pPr>
        <w:pStyle w:val="Heading3"/>
      </w:pPr>
      <w:r>
        <w:rPr>
          <w:rFonts w:ascii="Calibri" w:hAnsi="Calibri"/>
          <w:b/>
          <w:color w:val="3B4259"/>
          <w:sz w:val="24"/>
        </w:rPr>
        <w:t>8.2 Kinder Morgan (KMI) — Q2 2026 Results (Quarter Ended June 30, 2026)</w:t>
      </w:r>
    </w:p>
    <w:p>
      <w:r>
        <w:rPr>
          <w:rFonts w:ascii="Calibri" w:hAnsi="Calibri"/>
          <w:b/>
          <w:color w:val="525866"/>
          <w:sz w:val="22"/>
        </w:rPr>
        <w:t xml:space="preserve">Report Date: </w:t>
      </w:r>
      <w:r>
        <w:rPr>
          <w:rFonts w:ascii="Calibri" w:hAnsi="Calibri"/>
          <w:color w:val="525866"/>
          <w:sz w:val="22"/>
        </w:rPr>
        <w:t xml:space="preserve">July 22, 2026  |  Read-Through Type: </w:t>
      </w:r>
      <w:r>
        <w:rPr>
          <w:rFonts w:ascii="Calibri" w:hAnsi="Calibri"/>
          <w:b/>
          <w:color w:val="525866"/>
          <w:sz w:val="22"/>
        </w:rPr>
        <w:t>Indirect</w:t>
      </w:r>
      <w:r>
        <w:rPr>
          <w:rFonts w:ascii="Calibri" w:hAnsi="Calibri"/>
          <w:color w:val="525866"/>
          <w:sz w:val="22"/>
        </w:rPr>
        <w:t xml:space="preserve"> (midstream natural gas infrastructure; overlapping Texas/Permian Basin geography; not a regulated distribution utility)</w:t>
      </w:r>
    </w:p>
    <w:p>
      <w:r>
        <w:rPr>
          <w:rFonts w:ascii="Calibri" w:hAnsi="Calibri"/>
          <w:color w:val="525866"/>
          <w:sz w:val="22"/>
        </w:rPr>
        <w:t>Key Read-Through Points:</w:t>
      </w:r>
    </w:p>
    <w:p>
      <w:pPr>
        <w:pStyle w:val="ListBullet"/>
        <w:ind w:left="360" w:hanging="360"/>
      </w:pPr>
      <w:r>
        <w:rPr>
          <w:rFonts w:ascii="Calibri" w:hAnsi="Calibri"/>
          <w:b/>
          <w:color w:val="525866"/>
          <w:sz w:val="22"/>
        </w:rPr>
        <w:t xml:space="preserve">Natural gas transport volumes up 7% YoY in Q2 2026: </w:t>
      </w:r>
      <w:r>
        <w:rPr>
          <w:rFonts w:ascii="Calibri" w:hAnsi="Calibri"/>
          <w:color w:val="525866"/>
          <w:sz w:val="22"/>
        </w:rPr>
        <w:t xml:space="preserve">KMI reported natural gas transport volumes increased 7% in Q2 2026 vs. Q2 2025, driven by increased LNG feed gas deliveries, incremental power demand, and greater exports to Mexico. Natural gas gathering volumes rose 26% YoY, with Haynesville volumes averaging 1.9 Bcf/day and reaching over 2 Bcf/day in June. </w:t>
      </w:r>
      <w:r>
        <w:rPr>
          <w:rFonts w:ascii="Calibri" w:hAnsi="Calibri"/>
          <w:b/>
          <w:color w:val="525866"/>
          <w:sz w:val="22"/>
        </w:rPr>
        <w:t>ATO Read-Through (Indirect):</w:t>
      </w:r>
      <w:r>
        <w:rPr>
          <w:rFonts w:ascii="Calibri" w:hAnsi="Calibri"/>
          <w:color w:val="525866"/>
          <w:sz w:val="22"/>
        </w:rPr>
        <w:t xml:space="preserve"> Strong overall natural gas demand and high infrastructure utilization is a positive backdrop for ATO's distribution and APT transmission volumes. Robust power generation demand for natural gas supports the long-term growth thesis for ATO's Texas service territories.</w:t>
      </w:r>
    </w:p>
    <w:p>
      <w:pPr>
        <w:pStyle w:val="ListBullet"/>
        <w:ind w:left="360" w:hanging="360"/>
      </w:pPr>
      <w:r>
        <w:rPr>
          <w:rFonts w:ascii="Calibri" w:hAnsi="Calibri"/>
          <w:b/>
          <w:color w:val="525866"/>
          <w:sz w:val="22"/>
        </w:rPr>
        <w:t xml:space="preserve">Permian egress demand remains strong; new capacity filling immediately: </w:t>
      </w:r>
      <w:r>
        <w:rPr>
          <w:rFonts w:ascii="Calibri" w:hAnsi="Calibri"/>
          <w:color w:val="525866"/>
          <w:sz w:val="22"/>
        </w:rPr>
        <w:t xml:space="preserve">KMI noted "lots of interest" in additional Permian egress projects and that its GCC expansion project "filled up immediately upon startup." KMI also noted that observed "spreads coming in" may partly reflect less maintenance activity. </w:t>
      </w:r>
      <w:r>
        <w:rPr>
          <w:rFonts w:ascii="Calibri" w:hAnsi="Calibri"/>
          <w:b/>
          <w:color w:val="525866"/>
          <w:sz w:val="22"/>
        </w:rPr>
        <w:t>ATO Read-Through (Indirect):</w:t>
      </w:r>
      <w:r>
        <w:rPr>
          <w:rFonts w:ascii="Calibri" w:hAnsi="Calibri"/>
          <w:color w:val="525866"/>
          <w:sz w:val="22"/>
        </w:rPr>
        <w:t xml:space="preserve"> The observation that Permian egress capacity fills quickly upon startup is relevant context for ATO's APT through-system revenues. As new takeaway capacity comes online, Waha-Katy spreads may narrow, which would reduce APT's through-system revenue contribution. This is consistent with OKE's more explicit guidance for lower H2 earnings as differentials narrow.</w:t>
      </w:r>
    </w:p>
    <w:p>
      <w:pPr>
        <w:pStyle w:val="ListBullet"/>
        <w:ind w:left="360" w:hanging="360"/>
      </w:pPr>
      <w:r>
        <w:rPr>
          <w:rFonts w:ascii="Calibri" w:hAnsi="Calibri"/>
          <w:b/>
          <w:color w:val="525866"/>
          <w:sz w:val="22"/>
        </w:rPr>
        <w:t xml:space="preserve">KMI beat Q2 consensus: adjusted EPS $0.37 vs. consensus $0.32 (+15.6%): </w:t>
      </w:r>
      <w:r>
        <w:rPr>
          <w:rFonts w:ascii="Calibri" w:hAnsi="Calibri"/>
          <w:color w:val="525866"/>
          <w:sz w:val="22"/>
        </w:rPr>
        <w:t xml:space="preserve">KMI posted a strong beat driven by higher natural gas volumes. </w:t>
      </w:r>
      <w:r>
        <w:rPr>
          <w:rFonts w:ascii="Calibri" w:hAnsi="Calibri"/>
          <w:b/>
          <w:color w:val="525866"/>
          <w:sz w:val="22"/>
        </w:rPr>
        <w:t>ATO Read-Through (Indirect):</w:t>
      </w:r>
      <w:r>
        <w:rPr>
          <w:rFonts w:ascii="Calibri" w:hAnsi="Calibri"/>
          <w:color w:val="525866"/>
          <w:sz w:val="22"/>
        </w:rPr>
        <w:t xml:space="preserve"> Confirms that the natural gas infrastructure sector broadly outperformed in Q2 2026, a constructive backdrop for ATO's own Q3 print.</w:t>
      </w:r>
    </w:p>
    <w:p>
      <w:pPr>
        <w:pStyle w:val="ListBullet"/>
        <w:ind w:left="360" w:hanging="360"/>
      </w:pPr>
      <w:r>
        <w:rPr>
          <w:rFonts w:ascii="Calibri" w:hAnsi="Calibri"/>
          <w:b/>
          <w:color w:val="525866"/>
          <w:sz w:val="22"/>
        </w:rPr>
        <w:t xml:space="preserve">Long-term natural gas demand outlook remains very positive: </w:t>
      </w:r>
      <w:r>
        <w:rPr>
          <w:rFonts w:ascii="Calibri" w:hAnsi="Calibri"/>
          <w:color w:val="525866"/>
          <w:sz w:val="22"/>
        </w:rPr>
        <w:t xml:space="preserve">KMI cited Wood Mackenzie projections for U.S. natural gas demand to exceed 160 Bcf/day by 2035 (+46 Bcf/day vs. 2025), driven by LNG exports and power generation. KMI is developing projects to serve over 10 Bcf/day of power generation demand. </w:t>
      </w:r>
      <w:r>
        <w:rPr>
          <w:rFonts w:ascii="Calibri" w:hAnsi="Calibri"/>
          <w:b/>
          <w:color w:val="525866"/>
          <w:sz w:val="22"/>
        </w:rPr>
        <w:t>ATO Read-Through (Indirect):</w:t>
      </w:r>
      <w:r>
        <w:rPr>
          <w:rFonts w:ascii="Calibri" w:hAnsi="Calibri"/>
          <w:color w:val="525866"/>
          <w:sz w:val="22"/>
        </w:rPr>
        <w:t xml:space="preserve"> Strongly supportive of ATO's long-term customer growth and rate base expansion thesis in Texas, where data center and industrial load growth is accelerating.</w:t>
      </w:r>
    </w:p>
    <w:p>
      <w:pPr>
        <w:pStyle w:val="Heading3"/>
      </w:pPr>
      <w:r>
        <w:rPr>
          <w:rFonts w:ascii="Calibri" w:hAnsi="Calibri"/>
          <w:b/>
          <w:color w:val="3B4259"/>
          <w:sz w:val="24"/>
        </w:rPr>
        <w:t>8.3 ONEOK (OKE) — Q2 2026 Results (Quarter Ended June 30, 2026)</w:t>
      </w:r>
    </w:p>
    <w:p>
      <w:r>
        <w:rPr>
          <w:rFonts w:ascii="Calibri" w:hAnsi="Calibri"/>
          <w:b/>
          <w:color w:val="525866"/>
          <w:sz w:val="22"/>
        </w:rPr>
        <w:t xml:space="preserve">Report Date: </w:t>
      </w:r>
      <w:r>
        <w:rPr>
          <w:rFonts w:ascii="Calibri" w:hAnsi="Calibri"/>
          <w:color w:val="525866"/>
          <w:sz w:val="22"/>
        </w:rPr>
        <w:t xml:space="preserve">August 3, 2026  |  Read-Through Type: </w:t>
      </w:r>
      <w:r>
        <w:rPr>
          <w:rFonts w:ascii="Calibri" w:hAnsi="Calibri"/>
          <w:b/>
          <w:color w:val="525866"/>
          <w:sz w:val="22"/>
        </w:rPr>
        <w:t>Indirect</w:t>
      </w:r>
      <w:r>
        <w:rPr>
          <w:rFonts w:ascii="Calibri" w:hAnsi="Calibri"/>
          <w:color w:val="525866"/>
          <w:sz w:val="22"/>
        </w:rPr>
        <w:t xml:space="preserve"> (midstream NGL, natural gas gathering/processing, and intrastate pipelines; Permian Basin and Waha-Katy spread dynamics directly relevant to ATO's APT segment)</w:t>
      </w:r>
    </w:p>
    <w:p>
      <w:r>
        <w:rPr>
          <w:rFonts w:ascii="Calibri" w:hAnsi="Calibri"/>
          <w:color w:val="525866"/>
          <w:sz w:val="22"/>
        </w:rPr>
        <w:t>Key Read-Through Points:</w:t>
      </w:r>
    </w:p>
    <w:p>
      <w:pPr>
        <w:pStyle w:val="ListBullet"/>
        <w:ind w:left="360" w:hanging="360"/>
      </w:pPr>
      <w:r>
        <w:rPr>
          <w:rFonts w:ascii="Calibri" w:hAnsi="Calibri"/>
          <w:b/>
          <w:color w:val="525866"/>
          <w:sz w:val="22"/>
        </w:rPr>
        <w:t>Waha-Katy spread dynamics: narrowing expected in H2 2026 as Permian takeaway capacity enters service.</w:t>
      </w:r>
      <w:r>
        <w:rPr>
          <w:rFonts w:ascii="Calibri" w:hAnsi="Calibri"/>
          <w:color w:val="525866"/>
          <w:sz w:val="22"/>
        </w:rPr>
        <w:t xml:space="preserve"> OKE explicitly stated: "We expect lower earnings in the second half of the year as Permian takeaway capacity enters service and differentials narrow." OKE also noted that as the Waha-Katy spread narrowed and Waha became positive, they saw a "strong increase" in Permian NGL volumes in July and August from previously shut-in production. </w:t>
      </w:r>
      <w:r>
        <w:rPr>
          <w:rFonts w:ascii="Calibri" w:hAnsi="Calibri"/>
          <w:b/>
          <w:color w:val="525866"/>
          <w:sz w:val="22"/>
        </w:rPr>
        <w:t>ATO Read-Through (Indirect — Most Important):</w:t>
      </w:r>
      <w:r>
        <w:rPr>
          <w:rFonts w:ascii="Calibri" w:hAnsi="Calibri"/>
          <w:color w:val="525866"/>
          <w:sz w:val="22"/>
        </w:rPr>
        <w:t xml:space="preserve"> This is the single most important peer read-through for ATO's Q3 print. ATO's APT through-system revenues benefit from wide Waha-Katy spreads (ATO captured average spreads of $4.35/Mcf in H1 FY2026 vs. $1.80 in H1 FY2025). OKE's explicit guidance for spread normalization in H2 2026 suggests the upper end of ATO's guided $0.08–$0.12 H2 APT contribution may be at risk. However, the Q3 period (April–June) likely captured most of the elevated spread environment before the July/August normalization OKE describes.</w:t>
      </w:r>
    </w:p>
    <w:p>
      <w:pPr>
        <w:pStyle w:val="ListBullet"/>
        <w:ind w:left="360" w:hanging="360"/>
      </w:pPr>
      <w:r>
        <w:rPr>
          <w:rFonts w:ascii="Calibri" w:hAnsi="Calibri"/>
          <w:b/>
          <w:color w:val="525866"/>
          <w:sz w:val="22"/>
        </w:rPr>
        <w:t>OKE raised FY2026 guidance for the second time: net income midpoint $3.6B, EPS midpoint $5.68, EBITDA midpoint $5.0B.</w:t>
      </w:r>
      <w:r>
        <w:rPr>
          <w:rFonts w:ascii="Calibri" w:hAnsi="Calibri"/>
          <w:color w:val="525866"/>
          <w:sz w:val="22"/>
        </w:rPr>
        <w:t xml:space="preserve"> OKE raised guidance by $150M net income and $250M EBITDA vs. original February guidance. </w:t>
      </w:r>
      <w:r>
        <w:rPr>
          <w:rFonts w:ascii="Calibri" w:hAnsi="Calibri"/>
          <w:b/>
          <w:color w:val="525866"/>
          <w:sz w:val="22"/>
        </w:rPr>
        <w:t>ATO Read-Through (Indirect):</w:t>
      </w:r>
      <w:r>
        <w:rPr>
          <w:rFonts w:ascii="Calibri" w:hAnsi="Calibri"/>
          <w:color w:val="525866"/>
          <w:sz w:val="22"/>
        </w:rPr>
        <w:t xml:space="preserve"> Confirms that the natural gas midstream sector broadly outperformed in Q2 2026, a constructive backdrop for ATO's own Q3 print.</w:t>
      </w:r>
    </w:p>
    <w:p>
      <w:pPr>
        <w:pStyle w:val="ListBullet"/>
        <w:ind w:left="360" w:hanging="360"/>
      </w:pPr>
      <w:r>
        <w:rPr>
          <w:rFonts w:ascii="Calibri" w:hAnsi="Calibri"/>
          <w:b/>
          <w:color w:val="525866"/>
          <w:sz w:val="22"/>
        </w:rPr>
        <w:t xml:space="preserve">Gulf Coast Permian NGL volumes up 15% YoY; record NGL throughput: </w:t>
      </w:r>
      <w:r>
        <w:rPr>
          <w:rFonts w:ascii="Calibri" w:hAnsi="Calibri"/>
          <w:color w:val="525866"/>
          <w:sz w:val="22"/>
        </w:rPr>
        <w:t xml:space="preserve">OKE reported record NGL throughput volumes in Q2 2026, with Gulf Coast Permian Region leading at +15% YoY. </w:t>
      </w:r>
      <w:r>
        <w:rPr>
          <w:rFonts w:ascii="Calibri" w:hAnsi="Calibri"/>
          <w:b/>
          <w:color w:val="525866"/>
          <w:sz w:val="22"/>
        </w:rPr>
        <w:t>ATO Read-Through (Indirect):</w:t>
      </w:r>
      <w:r>
        <w:rPr>
          <w:rFonts w:ascii="Calibri" w:hAnsi="Calibri"/>
          <w:color w:val="525866"/>
          <w:sz w:val="22"/>
        </w:rPr>
        <w:t xml:space="preserve"> High Permian production activity supports natural gas supply availability in ATO's Texas service territories, a positive for long-term customer growth and system utilization.</w:t>
      </w:r>
    </w:p>
    <w:p>
      <w:pPr>
        <w:pStyle w:val="ListBullet"/>
        <w:ind w:left="360" w:hanging="360"/>
      </w:pPr>
      <w:r>
        <w:rPr>
          <w:rFonts w:ascii="Calibri" w:hAnsi="Calibri"/>
          <w:b/>
          <w:color w:val="525866"/>
          <w:sz w:val="22"/>
        </w:rPr>
        <w:t>Natural gas pipeline segment: another strong quarter from favorable market conditions and Waha differentials.</w:t>
      </w:r>
      <w:r>
        <w:rPr>
          <w:rFonts w:ascii="Calibri" w:hAnsi="Calibri"/>
          <w:color w:val="525866"/>
          <w:sz w:val="22"/>
        </w:rPr>
        <w:t xml:space="preserve"> OKE's natural gas pipeline segment saw "another strong quarter due to continued transportation demand and favorable market conditions." Waha-at-key-location price differentials "continued to benefit this segment during the second quarter." </w:t>
      </w:r>
      <w:r>
        <w:rPr>
          <w:rFonts w:ascii="Calibri" w:hAnsi="Calibri"/>
          <w:b/>
          <w:color w:val="525866"/>
          <w:sz w:val="22"/>
        </w:rPr>
        <w:t>ATO Read-Through (Indirect):</w:t>
      </w:r>
      <w:r>
        <w:rPr>
          <w:rFonts w:ascii="Calibri" w:hAnsi="Calibri"/>
          <w:color w:val="525866"/>
          <w:sz w:val="22"/>
        </w:rPr>
        <w:t xml:space="preserve"> Confirms that Waha spread benefits were realized in Q2 2026 (April–June), which directly overlaps with ATO's fiscal Q3. This is a positive signal that ATO's APT through-system revenues likely benefited from elevated spreads during the quarter.</w:t>
      </w:r>
    </w:p>
    <w:p>
      <w:pPr>
        <w:pStyle w:val="ListBullet"/>
        <w:ind w:left="360" w:hanging="360"/>
      </w:pPr>
      <w:r>
        <w:rPr>
          <w:rFonts w:ascii="Calibri" w:hAnsi="Calibri"/>
          <w:b/>
          <w:color w:val="525866"/>
          <w:sz w:val="22"/>
        </w:rPr>
        <w:t>OKE expects earnings to follow normal seasonal cadence in H2 2026 with "tailwinds."</w:t>
      </w:r>
      <w:r>
        <w:rPr>
          <w:rFonts w:ascii="Calibri" w:hAnsi="Calibri"/>
          <w:color w:val="525866"/>
          <w:sz w:val="22"/>
        </w:rPr>
        <w:t xml:space="preserve"> Despite the Waha normalization headwind, OKE maintained a constructive H2 outlook overall. </w:t>
      </w:r>
      <w:r>
        <w:rPr>
          <w:rFonts w:ascii="Calibri" w:hAnsi="Calibri"/>
          <w:b/>
          <w:color w:val="525866"/>
          <w:sz w:val="22"/>
        </w:rPr>
        <w:t>ATO Read-Through (Indirect):</w:t>
      </w:r>
      <w:r>
        <w:rPr>
          <w:rFonts w:ascii="Calibri" w:hAnsi="Calibri"/>
          <w:color w:val="525866"/>
          <w:sz w:val="22"/>
        </w:rPr>
        <w:t xml:space="preserve"> Suggests the broader natural gas infrastructure environment remains supportive even as Waha spreads normalize.</w:t>
      </w:r>
    </w:p>
    <w:p>
      <w:pPr>
        <w:pStyle w:val="Heading3"/>
      </w:pPr>
      <w:r>
        <w:rPr>
          <w:rFonts w:ascii="Calibri" w:hAnsi="Calibri"/>
          <w:b/>
          <w:color w:val="3B4259"/>
          <w:sz w:val="24"/>
        </w:rPr>
        <w:t>8.4 Williams Companies (WMB) — Q2 2026 Results (Quarter Ended June 30, 2026)</w:t>
      </w:r>
    </w:p>
    <w:p>
      <w:r>
        <w:rPr>
          <w:rFonts w:ascii="Calibri" w:hAnsi="Calibri"/>
          <w:b/>
          <w:color w:val="525866"/>
          <w:sz w:val="22"/>
        </w:rPr>
        <w:t xml:space="preserve">Report Date: </w:t>
      </w:r>
      <w:r>
        <w:rPr>
          <w:rFonts w:ascii="Calibri" w:hAnsi="Calibri"/>
          <w:color w:val="525866"/>
          <w:sz w:val="22"/>
        </w:rPr>
        <w:t xml:space="preserve">August 3–4, 2026  |  Read-Through Type: </w:t>
      </w:r>
      <w:r>
        <w:rPr>
          <w:rFonts w:ascii="Calibri" w:hAnsi="Calibri"/>
          <w:b/>
          <w:color w:val="525866"/>
          <w:sz w:val="22"/>
        </w:rPr>
        <w:t>Indirect</w:t>
      </w:r>
      <w:r>
        <w:rPr>
          <w:rFonts w:ascii="Calibri" w:hAnsi="Calibri"/>
          <w:color w:val="525866"/>
          <w:sz w:val="22"/>
        </w:rPr>
        <w:t xml:space="preserve"> (midstream natural gas transmission and gathering; Haynesville/Gulf Coast focus; no direct overlap with ATO's regulated distribution business)</w:t>
      </w:r>
    </w:p>
    <w:p>
      <w:r>
        <w:rPr>
          <w:rFonts w:ascii="Calibri" w:hAnsi="Calibri"/>
          <w:color w:val="525866"/>
          <w:sz w:val="22"/>
        </w:rPr>
        <w:t>Key Read-Through Points:</w:t>
      </w:r>
    </w:p>
    <w:p>
      <w:pPr>
        <w:pStyle w:val="ListBullet"/>
        <w:ind w:left="360" w:hanging="360"/>
      </w:pPr>
      <w:r>
        <w:rPr>
          <w:rFonts w:ascii="Calibri" w:hAnsi="Calibri"/>
          <w:b/>
          <w:color w:val="525866"/>
          <w:sz w:val="22"/>
        </w:rPr>
        <w:t xml:space="preserve">Q2 2026 EBITDA up 6% YoY; year-to-date EBITDA up 10%: </w:t>
      </w:r>
      <w:r>
        <w:rPr>
          <w:rFonts w:ascii="Calibri" w:hAnsi="Calibri"/>
          <w:color w:val="525866"/>
          <w:sz w:val="22"/>
        </w:rPr>
        <w:t xml:space="preserve">WMB reported Q2 2026 EBITDA of $1.92B, up 6% vs. Q2 2025. Transmission and Gulf businesses led performance (+6%), with Gulf businesses growing 23% from recent expansion projects. Natural gas storage businesses also grew 23%. </w:t>
      </w:r>
      <w:r>
        <w:rPr>
          <w:rFonts w:ascii="Calibri" w:hAnsi="Calibri"/>
          <w:b/>
          <w:color w:val="525866"/>
          <w:sz w:val="22"/>
        </w:rPr>
        <w:t>ATO Read-Through (Indirect):</w:t>
      </w:r>
      <w:r>
        <w:rPr>
          <w:rFonts w:ascii="Calibri" w:hAnsi="Calibri"/>
          <w:color w:val="525866"/>
          <w:sz w:val="22"/>
        </w:rPr>
        <w:t xml:space="preserve"> Confirms robust natural gas infrastructure demand and utilization in Q2 2026 (April–June), the same period as ATO's fiscal Q3. The strong storage business performance is consistent with elevated natural gas market activity.</w:t>
      </w:r>
    </w:p>
    <w:p>
      <w:pPr>
        <w:pStyle w:val="ListBullet"/>
        <w:ind w:left="360" w:hanging="360"/>
      </w:pPr>
      <w:r>
        <w:rPr>
          <w:rFonts w:ascii="Calibri" w:hAnsi="Calibri"/>
          <w:b/>
          <w:color w:val="525866"/>
          <w:sz w:val="22"/>
        </w:rPr>
        <w:t xml:space="preserve">WMB noted "pretty weak gas prices" through summer months as a risk factor: </w:t>
      </w:r>
      <w:r>
        <w:rPr>
          <w:rFonts w:ascii="Calibri" w:hAnsi="Calibri"/>
          <w:color w:val="525866"/>
          <w:sz w:val="22"/>
        </w:rPr>
        <w:t xml:space="preserve">WMB management cited "pretty weak gas prices" through the summer months as a reason for conservatism in H2 2026 guidance. Henry Hub prices averaged $3.02/MMBtu in Q2 2026, down 17.5% YoY (per EQT Q2 commentary). </w:t>
      </w:r>
      <w:r>
        <w:rPr>
          <w:rFonts w:ascii="Calibri" w:hAnsi="Calibri"/>
          <w:b/>
          <w:color w:val="525866"/>
          <w:sz w:val="22"/>
        </w:rPr>
        <w:t>ATO Read-Through (Indirect):</w:t>
      </w:r>
      <w:r>
        <w:rPr>
          <w:rFonts w:ascii="Calibri" w:hAnsi="Calibri"/>
          <w:color w:val="525866"/>
          <w:sz w:val="22"/>
        </w:rPr>
        <w:t xml:space="preserve"> Weak Henry Hub prices are generally neutral for ATO as a regulated utility (gas costs are passed through to customers). However, weak Henry Hub prices combined with elevated Waha prices would imply wider Waha-Katy spreads, which is a positive for APT through-system revenues. This is consistent with the elevated spreads ATO captured in H1 FY2026.</w:t>
      </w:r>
    </w:p>
    <w:p>
      <w:pPr>
        <w:pStyle w:val="ListBullet"/>
        <w:ind w:left="360" w:hanging="360"/>
      </w:pPr>
      <w:r>
        <w:rPr>
          <w:rFonts w:ascii="Calibri" w:hAnsi="Calibri"/>
          <w:b/>
          <w:color w:val="525866"/>
          <w:sz w:val="22"/>
        </w:rPr>
        <w:t xml:space="preserve">Momentum Midstream acquisition ($5.5B) announced alongside Q2 results: </w:t>
      </w:r>
      <w:r>
        <w:rPr>
          <w:rFonts w:ascii="Calibri" w:hAnsi="Calibri"/>
          <w:color w:val="525866"/>
          <w:sz w:val="22"/>
        </w:rPr>
        <w:t xml:space="preserve">WMB announced the acquisition of Momentum Midstream for up to $5.5B, adding ~6 Bcf/day of Haynesville gathering capacity and &gt;4 Bcf/day of take-or-pay pipeline capacity. WMB also announced the Shelby Connector and Delta Access Pipeline projects. WMB raised its long-term EBITDA CAGR target to 11%+ through 2030. </w:t>
      </w:r>
      <w:r>
        <w:rPr>
          <w:rFonts w:ascii="Calibri" w:hAnsi="Calibri"/>
          <w:b/>
          <w:color w:val="525866"/>
          <w:sz w:val="22"/>
        </w:rPr>
        <w:t>ATO Read-Through (Indirect):</w:t>
      </w:r>
      <w:r>
        <w:rPr>
          <w:rFonts w:ascii="Calibri" w:hAnsi="Calibri"/>
          <w:color w:val="525866"/>
          <w:sz w:val="22"/>
        </w:rPr>
        <w:t xml:space="preserve"> Confirms the long-term natural gas infrastructure investment thesis and growing demand for Haynesville supply to serve LNG exports and power generation. No direct impact on ATO's regulated distribution business, but supportive of the broader natural gas demand narrative that underpins ATO's customer growth and rate base expansion.</w:t>
      </w:r>
    </w:p>
    <w:p>
      <w:pPr>
        <w:pStyle w:val="ListBullet"/>
        <w:ind w:left="360" w:hanging="360"/>
      </w:pPr>
      <w:r>
        <w:rPr>
          <w:rFonts w:ascii="Calibri" w:hAnsi="Calibri"/>
          <w:b/>
          <w:color w:val="525866"/>
          <w:sz w:val="22"/>
        </w:rPr>
        <w:t xml:space="preserve">Power generation and LNG demand driving long-term natural gas growth: </w:t>
      </w:r>
      <w:r>
        <w:rPr>
          <w:rFonts w:ascii="Calibri" w:hAnsi="Calibri"/>
          <w:color w:val="525866"/>
          <w:sz w:val="22"/>
        </w:rPr>
        <w:t xml:space="preserve">WMB cited LNG exports expected to double from ~18 Bcf/day to &gt;40 Bcf/day over 10 years, and power generation demand growing rapidly. WMB is developing projects to serve &gt;10 Bcf/day of power generation demand. </w:t>
      </w:r>
      <w:r>
        <w:rPr>
          <w:rFonts w:ascii="Calibri" w:hAnsi="Calibri"/>
          <w:b/>
          <w:color w:val="525866"/>
          <w:sz w:val="22"/>
        </w:rPr>
        <w:t>ATO Read-Through (Indirect):</w:t>
      </w:r>
      <w:r>
        <w:rPr>
          <w:rFonts w:ascii="Calibri" w:hAnsi="Calibri"/>
          <w:color w:val="525866"/>
          <w:sz w:val="22"/>
        </w:rPr>
        <w:t xml:space="preserve"> Strongly supportive of ATO's long-term customer growth thesis in Texas, where data center and industrial load growth is a key driver of new customer additions and rate base expansion.</w:t>
      </w:r>
    </w:p>
    <w:p>
      <w:pPr>
        <w:pStyle w:val="ListBullet"/>
        <w:ind w:left="360" w:hanging="360"/>
      </w:pPr>
      <w:r>
        <w:rPr>
          <w:rFonts w:ascii="Calibri" w:hAnsi="Calibri"/>
          <w:b/>
          <w:color w:val="525866"/>
          <w:sz w:val="22"/>
        </w:rPr>
        <w:t xml:space="preserve">WMB's Socrates power innovation project (200MW) achieved in-service in under 18 months: </w:t>
      </w:r>
      <w:r>
        <w:rPr>
          <w:rFonts w:ascii="Calibri" w:hAnsi="Calibri"/>
          <w:color w:val="525866"/>
          <w:sz w:val="22"/>
        </w:rPr>
        <w:t xml:space="preserve">WMB delivered a utility-scale 200MW behind-the-meter power project for a data center customer. </w:t>
      </w:r>
      <w:r>
        <w:rPr>
          <w:rFonts w:ascii="Calibri" w:hAnsi="Calibri"/>
          <w:b/>
          <w:color w:val="525866"/>
          <w:sz w:val="22"/>
        </w:rPr>
        <w:t>ATO Read-Through (Indirect):</w:t>
      </w:r>
      <w:r>
        <w:rPr>
          <w:rFonts w:ascii="Calibri" w:hAnsi="Calibri"/>
          <w:color w:val="525866"/>
          <w:sz w:val="22"/>
        </w:rPr>
        <w:t xml:space="preserve"> Illustrates the scale of natural gas demand from data center buildouts in ATO's core Texas markets. ATO's APT system is well-positioned to serve this growing demand through its intrastate pipeline network.</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