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AXON before writing the preview. Let me gather recent earnings history, guidance, filings, analyst sentiment, and stock performance.AXON has had a volatile year. Let me read the most recent earnings release/transcript (2026Q1) and the prior-year comparable (2025Q2), plus recent news.Let me get the prior-year Q2 comps and recent news/analyst sentiment.Let me check consensus estimates and recent analyst sentiment for the upcoming print.Let me read the most recent preview article for consensus estimates.I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17" w:name="X7563795a85e2b97f0337b6c167dbe433420d514"/>
    <w:p>
      <w:pPr>
        <w:pStyle w:val="Heading1"/>
      </w:pPr>
      <w:r>
        <w:t xml:space="preserve">Axon Enterprise (AXON) — Q2 2026 Earnings Preview</w:t>
      </w:r>
    </w:p>
    <w:bookmarkStart w:id="9" w:name="Xe2a5836bcca89f53cedbef3620b584cc650c934"/>
    <w:p>
      <w:pPr>
        <w:pStyle w:val="Heading3"/>
      </w:pPr>
      <w:r>
        <w:t xml:space="preserve">Reports Wednesday, August 5, 2026 (after close)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Axon comes into this print as a high-multiple compounder that has strung together</w:t>
      </w:r>
      <w:r>
        <w:t xml:space="preserve"> </w:t>
      </w:r>
      <w:r>
        <w:rPr>
          <w:b/>
          <w:bCs/>
        </w:rPr>
        <w:t xml:space="preserve">nine straight quarters of 30%+ revenue growth</w:t>
      </w:r>
      <w:r>
        <w:t xml:space="preserve">, but whose stock has been on a rollercoaster — and which is now surging into the report on a wave of AI, counter-drone, and Washington-driven optimism. The question isn't whether the quarter is "good"; it's whether it's good enough versus an extremely high bar, and whether management raises guidance again.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Consensus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~$868M</w:t>
            </w:r>
          </w:p>
        </w:tc>
        <w:tc>
          <w:tcPr/>
          <w:p>
            <w:pPr>
              <w:pStyle w:val="Compact"/>
            </w:pPr>
            <w:r>
              <w:t xml:space="preserve">$668.5M</w:t>
            </w:r>
          </w:p>
        </w:tc>
        <w:tc>
          <w:tcPr/>
          <w:p>
            <w:pPr>
              <w:pStyle w:val="Compact"/>
            </w:pPr>
            <w:r>
              <w:t xml:space="preserve">+~30%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~$1.89</w:t>
            </w:r>
          </w:p>
        </w:tc>
        <w:tc>
          <w:tcPr/>
          <w:p>
            <w:pPr>
              <w:pStyle w:val="Compact"/>
            </w:pPr>
            <w:r>
              <w:t xml:space="preserve">$2.12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−~11%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Connected Devices rev</w:t>
            </w:r>
          </w:p>
        </w:tc>
        <w:tc>
          <w:tcPr/>
          <w:p>
            <w:pPr>
              <w:pStyle w:val="Compact"/>
            </w:pPr>
            <w:r>
              <w:t xml:space="preserve">~$479M</w:t>
            </w:r>
          </w:p>
        </w:tc>
        <w:tc>
          <w:tcPr/>
          <w:p>
            <w:pPr>
              <w:pStyle w:val="Compact"/>
            </w:pPr>
            <w:r>
              <w:t xml:space="preserve">$376.4M</w:t>
            </w:r>
          </w:p>
        </w:tc>
        <w:tc>
          <w:tcPr/>
          <w:p>
            <w:pPr>
              <w:pStyle w:val="Compact"/>
            </w:pPr>
            <w:r>
              <w:t xml:space="preserve">+~27%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Revenue consensus of ~$868M implies ~30% growth — consistent with the full-year guide but a step down from Q1's +34%. A tenth consecutive 30%+ quarter is very much in play.</w:t>
      </w:r>
    </w:p>
    <w:p>
      <w:pPr>
        <w:pStyle w:val="Compact"/>
        <w:numPr>
          <w:ilvl w:val="0"/>
          <w:numId w:val="1001"/>
        </w:numPr>
      </w:pPr>
      <w:r>
        <w:t xml:space="preserve">Note the</w:t>
      </w:r>
      <w:r>
        <w:t xml:space="preserve"> </w:t>
      </w:r>
      <w:r>
        <w:rPr>
          <w:b/>
          <w:bCs/>
        </w:rPr>
        <w:t xml:space="preserve">EPS optics</w:t>
      </w:r>
      <w:r>
        <w:t xml:space="preserve">: consensus calls for a</w:t>
      </w:r>
      <w:r>
        <w:t xml:space="preserve"> </w:t>
      </w:r>
      <w:r>
        <w:rPr>
          <w:i/>
          <w:iCs/>
        </w:rPr>
        <w:t xml:space="preserve">year-over-year decline</w:t>
      </w:r>
      <w:r>
        <w:t xml:space="preserve"> </w:t>
      </w:r>
      <w:r>
        <w:t xml:space="preserve">in non-GAAP EPS. That's not a demand story — it reflects a very favorable Q2 2025 tax benefit ($75M) that inflated last year's base, plus this year's gross-margin pressure and higher interest expense. Don't over-read a "down" EPS headline.</w:t>
      </w:r>
    </w:p>
    <w:p>
      <w:pPr>
        <w:pStyle w:val="Compact"/>
        <w:numPr>
          <w:ilvl w:val="0"/>
          <w:numId w:val="1001"/>
        </w:numPr>
      </w:pPr>
      <w:r>
        <w:t xml:space="preserve">Axon's recent track record vs. consensus is mixed — it beat on revenue but</w:t>
      </w:r>
      <w:r>
        <w:t xml:space="preserve"> </w:t>
      </w:r>
      <w:r>
        <w:rPr>
          <w:b/>
          <w:bCs/>
        </w:rPr>
        <w:t xml:space="preserve">missed non-GAAP EPS by ~3% in Q1 2026</w:t>
      </w:r>
      <w:r>
        <w:t xml:space="preserve"> </w:t>
      </w:r>
      <w:r>
        <w:t xml:space="preserve">($1.61 vs. $1.66 expected), so EPS quality/tax will matter.</w:t>
      </w:r>
    </w:p>
    <w:p>
      <w:r>
        <w:pict>
          <v:rect style="width:0;height:1.5pt" o:hralign="center" o:hrstd="t" o:hr="t"/>
        </w:pict>
      </w:r>
    </w:p>
    <w:bookmarkEnd w:id="11"/>
    <w:bookmarkStart w:id="12" w:name="where-axon-stands-q1-2026-baseline"/>
    <w:p>
      <w:pPr>
        <w:pStyle w:val="Heading2"/>
      </w:pPr>
      <w:r>
        <w:t xml:space="preserve">Where Axon stands (Q1 2026 baseline)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 $807M, +34% y/y</w:t>
      </w:r>
      <w:r>
        <w:t xml:space="preserve">; ninth straight quarter above 30%.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Software &amp; Services $355M (+35%)</w:t>
      </w:r>
      <w:r>
        <w:t xml:space="preserve">;</w:t>
      </w:r>
      <w:r>
        <w:t xml:space="preserve"> </w:t>
      </w:r>
      <w:r>
        <w:rPr>
          <w:b/>
          <w:bCs/>
        </w:rPr>
        <w:t xml:space="preserve">Connected Devices $453M (+33%)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ARR $1.49B (+35%)</w:t>
      </w:r>
      <w:r>
        <w:t xml:space="preserve">,</w:t>
      </w:r>
      <w:r>
        <w:t xml:space="preserve"> </w:t>
      </w:r>
      <w:r>
        <w:rPr>
          <w:b/>
          <w:bCs/>
        </w:rPr>
        <w:t xml:space="preserve">net revenue retention 125%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Future contracted bookings $14.3B (+44%)</w:t>
      </w:r>
      <w:r>
        <w:t xml:space="preserve"> </w:t>
      </w:r>
      <w:r>
        <w:t xml:space="preserve">— the single most important leading indicator.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EBITDA margin 25.0%</w:t>
      </w:r>
      <w:r>
        <w:t xml:space="preserve"> </w:t>
      </w:r>
      <w:r>
        <w:t xml:space="preserve">(FY target 25.5%).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AI product revenue +700% y/y</w:t>
      </w:r>
      <w:r>
        <w:t xml:space="preserve"> </w:t>
      </w:r>
      <w:r>
        <w:t xml:space="preserve">(small base);</w:t>
      </w:r>
      <w:r>
        <w:t xml:space="preserve"> </w:t>
      </w:r>
      <w:r>
        <w:rPr>
          <w:b/>
          <w:bCs/>
        </w:rPr>
        <w:t xml:space="preserve">AI bookings +140%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Dedrone/counter-drone revenue +300%, bookings +500%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International = 20% of revenue, +100%+ y/y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2"/>
    <w:bookmarkStart w:id="13" w:name="what-actually-matters-on-this-print"/>
    <w:p>
      <w:pPr>
        <w:pStyle w:val="Heading2"/>
      </w:pPr>
      <w:r>
        <w:t xml:space="preserve">What actually matters on this print</w:t>
      </w:r>
    </w:p>
    <w:p>
      <w:pPr>
        <w:pStyle w:val="FirstParagraph"/>
      </w:pPr>
      <w:r>
        <w:rPr>
          <w:b/>
          <w:bCs/>
        </w:rPr>
        <w:t xml:space="preserve">1. Bookings &amp; backlog (the real tell).</w:t>
      </w:r>
      <w:r>
        <w:t xml:space="preserve"> </w:t>
      </w:r>
      <w:r>
        <w:t xml:space="preserve">Revenue is largely a function of a backlog that's already at $14.3B. Watch whether</w:t>
      </w:r>
      <w:r>
        <w:t xml:space="preserve"> </w:t>
      </w:r>
      <w:r>
        <w:rPr>
          <w:b/>
          <w:bCs/>
        </w:rPr>
        <w:t xml:space="preserve">future contracted bookings</w:t>
      </w:r>
      <w:r>
        <w:t xml:space="preserve"> </w:t>
      </w:r>
      <w:r>
        <w:t xml:space="preserve">keep compounding at a rate at/above revenue growth — management has explicitly said that if bookings grow in line with revenue, the ~30% growth algorithm extends far into the future. Q4 is the seasonally huge bookings quarter, so a soft-looking Q2 bookings number is normal; the y/y growth rate is what counts.</w:t>
      </w:r>
    </w:p>
    <w:p>
      <w:pPr>
        <w:pStyle w:val="BodyText"/>
      </w:pPr>
      <w:r>
        <w:rPr>
          <w:b/>
          <w:bCs/>
        </w:rPr>
        <w:t xml:space="preserve">2. The guidance raise.</w:t>
      </w:r>
      <w:r>
        <w:t xml:space="preserve"> </w:t>
      </w:r>
      <w:r>
        <w:t xml:space="preserve">Axon raised full-year revenue guidance to</w:t>
      </w:r>
      <w:r>
        <w:t xml:space="preserve"> </w:t>
      </w:r>
      <w:r>
        <w:rPr>
          <w:b/>
          <w:bCs/>
        </w:rPr>
        <w:t xml:space="preserve">30–32% growth</w:t>
      </w:r>
      <w:r>
        <w:t xml:space="preserve"> </w:t>
      </w:r>
      <w:r>
        <w:t xml:space="preserve">at Q1 (from 27–30%), while holding the</w:t>
      </w:r>
      <w:r>
        <w:t xml:space="preserve"> </w:t>
      </w:r>
      <w:r>
        <w:rPr>
          <w:b/>
          <w:bCs/>
        </w:rPr>
        <w:t xml:space="preserve">~25.5% adjusted EBITDA margin</w:t>
      </w:r>
      <w:r>
        <w:t xml:space="preserve">. Given the stock's momentum, an in-line quarter with</w:t>
      </w:r>
      <w:r>
        <w:t xml:space="preserve"> </w:t>
      </w:r>
      <w:r>
        <w:rPr>
          <w:i/>
          <w:iCs/>
        </w:rPr>
        <w:t xml:space="preserve">no</w:t>
      </w:r>
      <w:r>
        <w:t xml:space="preserve"> </w:t>
      </w:r>
      <w:r>
        <w:t xml:space="preserve">raise could disappoint; a raise toward/above the high end is likely the bull-case trigger. Full-year Street revenue sits around ~$3.65B.</w:t>
      </w:r>
    </w:p>
    <w:p>
      <w:pPr>
        <w:pStyle w:val="BodyText"/>
      </w:pPr>
      <w:r>
        <w:rPr>
          <w:b/>
          <w:bCs/>
        </w:rPr>
        <w:t xml:space="preserve">3. Gross margin — the pressure point.</w:t>
      </w:r>
      <w:r>
        <w:t xml:space="preserve"> </w:t>
      </w:r>
      <w:r>
        <w:t xml:space="preserve">Adjusted gross margin was</w:t>
      </w:r>
      <w:r>
        <w:t xml:space="preserve"> </w:t>
      </w:r>
      <w:r>
        <w:rPr>
          <w:b/>
          <w:bCs/>
        </w:rPr>
        <w:t xml:space="preserve">61.6% in Q1, down ~200 bps y/y</w:t>
      </w:r>
      <w:r>
        <w:t xml:space="preserve">, squeezed by (a)</w:t>
      </w:r>
      <w:r>
        <w:t xml:space="preserve"> </w:t>
      </w:r>
      <w:r>
        <w:rPr>
          <w:b/>
          <w:bCs/>
        </w:rPr>
        <w:t xml:space="preserve">global tariffs</w:t>
      </w:r>
      <w:r>
        <w:t xml:space="preserve">, (b)</w:t>
      </w:r>
      <w:r>
        <w:t xml:space="preserve"> </w:t>
      </w:r>
      <w:r>
        <w:rPr>
          <w:b/>
          <w:bCs/>
        </w:rPr>
        <w:t xml:space="preserve">memory/component inflation</w:t>
      </w:r>
      <w:r>
        <w:t xml:space="preserve"> </w:t>
      </w:r>
      <w:r>
        <w:t xml:space="preserve">on cameras, and (c)</w:t>
      </w:r>
      <w:r>
        <w:t xml:space="preserve"> </w:t>
      </w:r>
      <w:r>
        <w:rPr>
          <w:b/>
          <w:bCs/>
        </w:rPr>
        <w:t xml:space="preserve">mix shift</w:t>
      </w:r>
      <w:r>
        <w:t xml:space="preserve"> </w:t>
      </w:r>
      <w:r>
        <w:t xml:space="preserve">toward lower-margin Dedrone hardware and professional services. Management said memory isn't big enough to break out and that H2 will bring operating leverage to hit the 25.5% EBITDA target — so look for margin stabilization and whether the "second-half leverage" story is on track.</w:t>
      </w:r>
    </w:p>
    <w:p>
      <w:pPr>
        <w:pStyle w:val="BodyText"/>
      </w:pPr>
      <w:r>
        <w:rPr>
          <w:b/>
          <w:bCs/>
        </w:rPr>
        <w:t xml:space="preserve">4. Free cash flow &amp; inventory build.</w:t>
      </w:r>
      <w:r>
        <w:t xml:space="preserve"> </w:t>
      </w:r>
      <w:r>
        <w:t xml:space="preserve">This is the most nuanced issue. Axon burned cash in H1 (Q1 FCF was</w:t>
      </w:r>
      <w:r>
        <w:t xml:space="preserve"> </w:t>
      </w:r>
      <w:r>
        <w:rPr>
          <w:b/>
          <w:bCs/>
        </w:rPr>
        <w:t xml:space="preserve">−</w:t>
      </w:r>
      <m:oMath>
        <m:r>
          <m:t>55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)</m:t>
        </m:r>
        <m:r>
          <m:t>a</m:t>
        </m:r>
        <m:r>
          <m:t>s</m:t>
        </m:r>
        <m:r>
          <m:t>i</m:t>
        </m:r>
        <m:r>
          <m:t>t</m:t>
        </m:r>
        <m:r>
          <m:t>d</m:t>
        </m:r>
        <m:r>
          <m:t>e</m:t>
        </m:r>
        <m:r>
          <m:t>l</m:t>
        </m:r>
        <m:r>
          <m:t>i</m:t>
        </m:r>
        <m:r>
          <m:t>b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t>l</m:t>
        </m:r>
        <m:r>
          <m:t>o</m:t>
        </m:r>
        <m:r>
          <m:t>a</m:t>
        </m:r>
        <m:r>
          <m:t>d</m:t>
        </m:r>
        <m:r>
          <m:t>e</m:t>
        </m:r>
        <m:r>
          <m:t>d</m:t>
        </m:r>
        <m:r>
          <m:t>u</m:t>
        </m:r>
        <m:r>
          <m:t>p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v</m:t>
        </m:r>
        <m:r>
          <m:t>e</m:t>
        </m:r>
        <m:r>
          <m:t>n</m:t>
        </m:r>
        <m:r>
          <m:t>t</m:t>
        </m:r>
        <m:r>
          <m:t>o</m:t>
        </m:r>
        <m:r>
          <m:t>r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d</m:t>
        </m:r>
        <m:r>
          <m:t>e</m:t>
        </m:r>
        <m:r>
          <m:rPr>
            <m:sty m:val="p"/>
          </m:rPr>
          <m:t>−</m:t>
        </m:r>
        <m:r>
          <m:t>r</m:t>
        </m:r>
        <m:r>
          <m:t>i</m:t>
        </m:r>
        <m:r>
          <m:t>s</m:t>
        </m:r>
        <m:r>
          <m:t>k</m:t>
        </m:r>
        <m:r>
          <m:t>s</m:t>
        </m:r>
        <m:r>
          <m:t>u</m:t>
        </m:r>
        <m:r>
          <m:t>p</m:t>
        </m:r>
        <m:r>
          <m:t>p</m:t>
        </m:r>
        <m:r>
          <m:t>l</m:t>
        </m:r>
        <m:r>
          <m:t>y</m:t>
        </m:r>
        <m:r>
          <m:t>c</m:t>
        </m:r>
        <m:r>
          <m:t>h</m:t>
        </m:r>
        <m:r>
          <m:t>a</m:t>
        </m:r>
        <m:r>
          <m:t>i</m:t>
        </m:r>
        <m:r>
          <m:t>n</m:t>
        </m:r>
        <m:r>
          <m:t>a</m:t>
        </m:r>
        <m:r>
          <m:t>n</m:t>
        </m:r>
        <m:r>
          <m:t>d</m:t>
        </m:r>
        <m:r>
          <m:t>f</m:t>
        </m:r>
        <m:r>
          <m:t>u</m:t>
        </m:r>
        <m:r>
          <m:t>n</m:t>
        </m:r>
        <m:r>
          <m:t>d</m:t>
        </m:r>
        <m:r>
          <m:t>D</m:t>
        </m:r>
        <m:r>
          <m:t>e</m:t>
        </m:r>
        <m:r>
          <m:t>d</m:t>
        </m:r>
        <m:r>
          <m:t>r</m:t>
        </m:r>
        <m:r>
          <m:t>o</m:t>
        </m:r>
        <m:r>
          <m:t>n</m:t>
        </m:r>
        <m:r>
          <m:t>e</m:t>
        </m:r>
        <m:r>
          <m:rPr>
            <m:sty m:val="p"/>
          </m:rPr>
          <m:t>/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t>d</m:t>
        </m:r>
        <m:r>
          <m:t>e</m:t>
        </m:r>
        <m:r>
          <m:t>m</m:t>
        </m:r>
        <m:r>
          <m:t>a</m:t>
        </m:r>
        <m:r>
          <m:t>n</m:t>
        </m:r>
        <m:r>
          <m:t>d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i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450M of free cash flow</w:t>
      </w:r>
      <w:r>
        <w:t xml:space="preserve">, which requires a large H2 swing. Watch inventory levels, working capital, and whether the FCF-conversion narrative holds.</w:t>
      </w:r>
    </w:p>
    <w:p>
      <w:pPr>
        <w:pStyle w:val="BodyText"/>
      </w:pPr>
      <w:r>
        <w:rPr>
          <w:b/>
          <w:bCs/>
        </w:rPr>
        <w:t xml:space="preserve">5. Counter-drone (Dedrone) — the new growth leg.</w:t>
      </w:r>
      <w:r>
        <w:t xml:space="preserve"> </w:t>
      </w:r>
      <w:r>
        <w:t xml:space="preserve">Scaling "beyond our most aggressive assumptions." Tailwinds include the</w:t>
      </w:r>
      <w:r>
        <w:t xml:space="preserve"> </w:t>
      </w:r>
      <w:r>
        <w:rPr>
          <w:b/>
          <w:bCs/>
        </w:rPr>
        <w:t xml:space="preserve">Safer Skies Act</w:t>
      </w:r>
      <w:r>
        <w:t xml:space="preserve"> </w:t>
      </w:r>
      <w:r>
        <w:t xml:space="preserve">($250M in federal grants + local mitigation authority) and marquee events (Super Bowl, Kentucky Derby,</w:t>
      </w:r>
      <w:r>
        <w:t xml:space="preserve"> </w:t>
      </w:r>
      <w:r>
        <w:rPr>
          <w:b/>
          <w:bCs/>
        </w:rPr>
        <w:t xml:space="preserve">2026 World Cup</w:t>
      </w:r>
      <w:r>
        <w:t xml:space="preserve"> </w:t>
      </w:r>
      <w:r>
        <w:t xml:space="preserve">venues). Management says it's currently</w:t>
      </w:r>
      <w:r>
        <w:t xml:space="preserve"> </w:t>
      </w:r>
      <w:r>
        <w:rPr>
          <w:b/>
          <w:bCs/>
        </w:rPr>
        <w:t xml:space="preserve">supply-constrained, not demand-constrained</w:t>
      </w:r>
      <w:r>
        <w:t xml:space="preserve">. Any update on production ramp and margin trajectory here is a key swing factor.</w:t>
      </w:r>
    </w:p>
    <w:p>
      <w:pPr>
        <w:pStyle w:val="BodyText"/>
      </w:pPr>
      <w:r>
        <w:rPr>
          <w:b/>
          <w:bCs/>
        </w:rPr>
        <w:t xml:space="preserve">6. AI Era Plan traction.</w:t>
      </w:r>
      <w:r>
        <w:t xml:space="preserve"> </w:t>
      </w:r>
      <w:r>
        <w:t xml:space="preserve">"Nearly all large domestic law enforcement agencies are now including AI in their purchases." AI is off a tiny revenue base but inflecting fast. Watch for updated AI booking figures and adoption of new products unveiled at Axon Week (Axon Vision, Guardian, Assistant, Form One, Brief One).</w:t>
      </w:r>
    </w:p>
    <w:p>
      <w:pPr>
        <w:pStyle w:val="BodyText"/>
      </w:pPr>
      <w:r>
        <w:rPr>
          <w:b/>
          <w:bCs/>
        </w:rPr>
        <w:t xml:space="preserve">7. Stock-based compensation &amp; dilution.</w:t>
      </w:r>
      <w:r>
        <w:t xml:space="preserve"> </w:t>
      </w:r>
      <w:r>
        <w:t xml:space="preserve">SBC runs ~**</w:t>
      </w:r>
      <m:oMath>
        <m:r>
          <m:t>134</m:t>
        </m:r>
        <m:r>
          <m:t>M</m:t>
        </m:r>
        <m:r>
          <m:rPr>
            <m:sty m:val="p"/>
          </m:rPr>
          <m:t>/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</m:oMath>
      <w:r>
        <w:t xml:space="preserve">590–620M/yr guide), a persistent bear talking point given GAAP vs. non-GAAP gaps. Management targets</w:t>
      </w:r>
      <w:r>
        <w:t xml:space="preserve"> </w:t>
      </w:r>
      <w:r>
        <w:rPr>
          <w:b/>
          <w:bCs/>
        </w:rPr>
        <w:t xml:space="preserve">&lt;2.5% average annual dilution</w:t>
      </w:r>
      <w:r>
        <w:t xml:space="preserve"> </w:t>
      </w:r>
      <w:r>
        <w:t xml:space="preserve">and says SBC dollars should stay roughly flat, declining as a % of revenue. Keep an eye on the GAAP-to-non-GAAP bridge.</w:t>
      </w:r>
    </w:p>
    <w:p>
      <w:r>
        <w:pict>
          <v:rect style="width:0;height:1.5pt" o:hralign="center" o:hrstd="t" o:hr="t"/>
        </w:pict>
      </w:r>
    </w:p>
    <w:bookmarkEnd w:id="13"/>
    <w:bookmarkStart w:id="14" w:name="Xb16b797a285d4596107a77984d813acb092f17a"/>
    <w:p>
      <w:pPr>
        <w:pStyle w:val="Heading2"/>
      </w:pPr>
      <w:r>
        <w:t xml:space="preserve">Stock context — why the tape is loud right now</w:t>
      </w:r>
    </w:p>
    <w:p>
      <w:pPr>
        <w:pStyle w:val="Compact"/>
        <w:numPr>
          <w:ilvl w:val="0"/>
          <w:numId w:val="1003"/>
        </w:numPr>
      </w:pPr>
      <w:r>
        <w:t xml:space="preserve">Shares closed **</w:t>
      </w:r>
      <m:oMath>
        <m:r>
          <m:t>607.24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t xml:space="preserve">492 just two weeks earlier — a ~</w:t>
      </w:r>
      <w:r>
        <w:rPr>
          <w:b/>
          <w:bCs/>
        </w:rPr>
        <w:t xml:space="preserve">24% run into the print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But zoom out: AXON peaked near</w:t>
      </w:r>
      <w:r>
        <w:t xml:space="preserve"> </w:t>
      </w:r>
      <m:oMath>
        <m:r>
          <m:t>870</m:t>
        </m:r>
        <m:r>
          <m:t>i</m:t>
        </m:r>
        <m:r>
          <m:t>n</m:t>
        </m:r>
        <m:r>
          <m:t>A</m:t>
        </m:r>
        <m:r>
          <m:t>u</m:t>
        </m:r>
        <m:r>
          <m:t>g</m:t>
        </m:r>
        <m:r>
          <m:t>u</m:t>
        </m:r>
        <m:r>
          <m:t>s</m:t>
        </m:r>
        <m:r>
          <m:t>t</m:t>
        </m:r>
        <m:r>
          <m:t>2025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l</m:t>
        </m:r>
        <m:r>
          <m:t>a</m:t>
        </m:r>
        <m:r>
          <m:t>s</m:t>
        </m:r>
        <m:r>
          <m:t>t</m:t>
        </m:r>
        <m:r>
          <m:t>y</m:t>
        </m:r>
        <m:r>
          <m:t>e</m:t>
        </m:r>
        <m:r>
          <m:t>a</m:t>
        </m:r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Q</m:t>
        </m:r>
        <m:r>
          <m:t>2</m:t>
        </m:r>
        <m:r>
          <m:t>b</m:t>
        </m:r>
        <m:r>
          <m:t>l</m:t>
        </m:r>
        <m:r>
          <m:t>o</m:t>
        </m:r>
        <m:r>
          <m:t>w</m:t>
        </m:r>
        <m:r>
          <m:t>o</m:t>
        </m:r>
        <m:r>
          <m:t>u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t>d</m:t>
        </m:r>
        <m:r>
          <m:t>e</m:t>
        </m:r>
        <m:r>
          <m:rPr>
            <m:sty m:val="p"/>
          </m:rPr>
          <m:t>−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a</m:t>
        </m:r>
        <m:r>
          <m:t>l</m:t>
        </m:r>
        <m:r>
          <m:t>l</m:t>
        </m:r>
        <m:r>
          <m:t>t</m:t>
        </m:r>
        <m:r>
          <m:t>h</m:t>
        </m:r>
        <m:r>
          <m:t>e</m:t>
        </m:r>
        <m:r>
          <m:t>w</m:t>
        </m:r>
        <m:r>
          <m:t>a</m:t>
        </m:r>
        <m:r>
          <m:t>y</m:t>
        </m:r>
        <m:r>
          <m:t>t</m:t>
        </m:r>
        <m:r>
          <m:t>o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346 low in April 2026</w:t>
      </w:r>
      <w:r>
        <w:t xml:space="preserve"> </w:t>
      </w:r>
      <w:r>
        <w:t xml:space="preserve">amid the broad tariff/tech selloff, before recovering. It's still</w:t>
      </w:r>
      <w:r>
        <w:t xml:space="preserve"> </w:t>
      </w:r>
      <w:r>
        <w:rPr>
          <w:b/>
          <w:bCs/>
        </w:rPr>
        <w:t xml:space="preserve">~30% below its 2025 high</w:t>
      </w:r>
      <w:r>
        <w:t xml:space="preserve"> </w:t>
      </w:r>
      <w:r>
        <w:t xml:space="preserve">and roughly flat-to-down over the trailing 12 months, even as the S&amp;P 500 (SPY) ground higher.</w:t>
      </w:r>
    </w:p>
    <w:p>
      <w:pPr>
        <w:pStyle w:val="Compact"/>
        <w:numPr>
          <w:ilvl w:val="0"/>
          <w:numId w:val="1003"/>
        </w:numPr>
      </w:pPr>
      <w:r>
        <w:t xml:space="preserve">Translation: sentiment has whipsawed violently, the recent rally has raised the bar, and</w:t>
      </w:r>
      <w:r>
        <w:t xml:space="preserve"> </w:t>
      </w:r>
      <w:r>
        <w:rPr>
          <w:b/>
          <w:bCs/>
        </w:rPr>
        <w:t xml:space="preserve">positioning + valuation leave little room for a soft quarter or an unchanged guide.</w:t>
      </w:r>
    </w:p>
    <w:p>
      <w:pPr>
        <w:pStyle w:val="FirstParagraph"/>
      </w:pPr>
      <w:r>
        <w:rPr>
          <w:b/>
          <w:bCs/>
        </w:rPr>
        <w:t xml:space="preserve">Washington wildcard:</w:t>
      </w:r>
      <w:r>
        <w:t xml:space="preserve"> </w:t>
      </w:r>
      <w:r>
        <w:t xml:space="preserve">News that</w:t>
      </w:r>
      <w:r>
        <w:t xml:space="preserve"> </w:t>
      </w:r>
      <w:r>
        <w:t xml:space="preserve">Axon received a stock purchase of up to $5 million from President Trump, and roughly two weeks later ICE announced it was seeking a 5-year,</w:t>
      </w:r>
      <w:r>
        <w:t xml:space="preserve"> </w:t>
      </w:r>
      <w:r>
        <w:t xml:space="preserve">$220 million contract to more than quadruple its Taser inventory&lt;/cite&gt; has added a speculative bid. &lt;cite index="2-2"&gt;Federal procurement records show no contract has been awarded yet, though experts view Axon as the front-runner given it manufactures the Tasers ICE currently uses.&lt;/cite&gt; &lt;cite index="2-3"&gt;The White House stated there is no conflict of interest and noted Trump's assets are managed by independent third-party firms.&lt;/cite&gt; Also note an **insider Form 144 filing on Aug 4** (intent to sell ~$</w:t>
      </w:r>
      <w:r>
        <w:t xml:space="preserve">599K) — routine, but worth flagging into the event.</w:t>
      </w:r>
    </w:p>
    <w:p>
      <w:r>
        <w:pict>
          <v:rect style="width:0;height:1.5pt" o:hralign="center" o:hrstd="t" o:hr="t"/>
        </w:pict>
      </w:r>
    </w:p>
    <w:bookmarkEnd w:id="14"/>
    <w:bookmarkStart w:id="15" w:name="bull-vs-bear-into-the-number"/>
    <w:p>
      <w:pPr>
        <w:pStyle w:val="Heading2"/>
      </w:pPr>
      <w:r>
        <w:t xml:space="preserve">Bull vs. bear into the number</w:t>
      </w:r>
    </w:p>
    <w:p>
      <w:pPr>
        <w:pStyle w:val="FirstParagraph"/>
      </w:pPr>
      <w:r>
        <w:rPr>
          <w:b/>
          <w:bCs/>
        </w:rPr>
        <w:t xml:space="preserve">Bull case</w:t>
      </w:r>
    </w:p>
    <w:p>
      <w:pPr>
        <w:pStyle w:val="Compact"/>
        <w:numPr>
          <w:ilvl w:val="0"/>
          <w:numId w:val="1004"/>
        </w:numPr>
      </w:pPr>
      <w:r>
        <w:t xml:space="preserve">10th straight 30%+ quarter + another guidance raise.</w:t>
      </w:r>
    </w:p>
    <w:p>
      <w:pPr>
        <w:pStyle w:val="Compact"/>
        <w:numPr>
          <w:ilvl w:val="0"/>
          <w:numId w:val="1004"/>
        </w:numPr>
      </w:pPr>
      <w:r>
        <w:t xml:space="preserve">Bookings/ARR keep compounding (backlog visibility is enormous).</w:t>
      </w:r>
    </w:p>
    <w:p>
      <w:pPr>
        <w:pStyle w:val="Compact"/>
        <w:numPr>
          <w:ilvl w:val="0"/>
          <w:numId w:val="1004"/>
        </w:numPr>
      </w:pPr>
      <w:r>
        <w:t xml:space="preserve">Dedrone and international as durable new growth legs; AI adoption inflecting.</w:t>
      </w:r>
    </w:p>
    <w:p>
      <w:pPr>
        <w:pStyle w:val="Compact"/>
        <w:numPr>
          <w:ilvl w:val="0"/>
          <w:numId w:val="1004"/>
        </w:numPr>
      </w:pPr>
      <w:r>
        <w:t xml:space="preserve">Federal/ICE Taser tailwind provides optionality not yet in numbers.</w:t>
      </w:r>
    </w:p>
    <w:p>
      <w:pPr>
        <w:pStyle w:val="FirstParagraph"/>
      </w:pPr>
      <w:r>
        <w:rPr>
          <w:b/>
          <w:bCs/>
        </w:rPr>
        <w:t xml:space="preserve">Bear case</w:t>
      </w:r>
    </w:p>
    <w:p>
      <w:pPr>
        <w:pStyle w:val="Compact"/>
        <w:numPr>
          <w:ilvl w:val="0"/>
          <w:numId w:val="1005"/>
        </w:numPr>
      </w:pPr>
      <w:r>
        <w:t xml:space="preserve">Valuation remains rich after a 24% two-week run; high bar.</w:t>
      </w:r>
    </w:p>
    <w:p>
      <w:pPr>
        <w:pStyle w:val="Compact"/>
        <w:numPr>
          <w:ilvl w:val="0"/>
          <w:numId w:val="1005"/>
        </w:numPr>
      </w:pPr>
      <w:r>
        <w:t xml:space="preserve">Gross-margin erosion (tariffs, memory, Dedrone mix) persists; H2 leverage must show up.</w:t>
      </w:r>
    </w:p>
    <w:p>
      <w:pPr>
        <w:pStyle w:val="Compact"/>
        <w:numPr>
          <w:ilvl w:val="0"/>
          <w:numId w:val="1005"/>
        </w:numPr>
      </w:pPr>
      <w:r>
        <w:t xml:space="preserve">Heavy H1 cash burn / inventory build — FCF target is back-half loaded.</w:t>
      </w:r>
    </w:p>
    <w:p>
      <w:pPr>
        <w:pStyle w:val="Compact"/>
        <w:numPr>
          <w:ilvl w:val="0"/>
          <w:numId w:val="1005"/>
        </w:numPr>
      </w:pPr>
      <w:r>
        <w:t xml:space="preserve">Large SBC and dilution; a "down" y/y EPS headline could spook casual readers.</w:t>
      </w:r>
    </w:p>
    <w:p>
      <w:pPr>
        <w:pStyle w:val="Compact"/>
        <w:numPr>
          <w:ilvl w:val="0"/>
          <w:numId w:val="1005"/>
        </w:numPr>
      </w:pPr>
      <w:r>
        <w:t xml:space="preserve">Government-funding and contract-timing lumpiness (international revenue is explicitly lumpy).</w:t>
      </w:r>
    </w:p>
    <w:p>
      <w:r>
        <w:pict>
          <v:rect style="width:0;height:1.5pt" o:hralign="center" o:hrstd="t" o:hr="t"/>
        </w:pict>
      </w:r>
    </w:p>
    <w:bookmarkEnd w:id="15"/>
    <w:bookmarkStart w:id="16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Fundamentally, Axon is executing at an elite level across a widening set of growth vectors, and the</w:t>
      </w:r>
      <w:r>
        <w:t xml:space="preserve"> </w:t>
      </w:r>
      <w:r>
        <w:rPr>
          <w:b/>
          <w:bCs/>
        </w:rPr>
        <w:t xml:space="preserve">backlog, ARR, and bookings give unusual forward visibility</w:t>
      </w:r>
      <w:r>
        <w:t xml:space="preserve">. The debate on this print is not the trajectory — it's</w:t>
      </w:r>
      <w:r>
        <w:t xml:space="preserve"> </w:t>
      </w:r>
      <w:r>
        <w:rPr>
          <w:b/>
          <w:bCs/>
        </w:rPr>
        <w:t xml:space="preserve">expectations and price</w:t>
      </w:r>
      <w:r>
        <w:t xml:space="preserve">. With shares having surged into the report, the reaction likely hinges on three things:</w:t>
      </w:r>
      <w:r>
        <w:t xml:space="preserve"> </w:t>
      </w:r>
      <w:r>
        <w:rPr>
          <w:b/>
          <w:bCs/>
        </w:rPr>
        <w:t xml:space="preserve">(1) whether management raises full-year guidance again, (2) evidence that gross margins are stabilizing and H2 operating leverage/FCF conversion is intact, and (3) the pace of Dedrone and AI monetization.</w:t>
      </w:r>
      <w:r>
        <w:t xml:space="preserve"> </w:t>
      </w:r>
      <w:r>
        <w:t xml:space="preserve">Anything short of a beat-and-raise with clean margin commentary could see the recent momentum unwind quickly; conversely, a raise plus continued Dedrone/AI/federal momentum could re-open the path back toward the 2025 highs.</w:t>
      </w:r>
    </w:p>
    <w:p>
      <w:pPr>
        <w:pStyle w:val="BodyText"/>
      </w:pPr>
      <w:r>
        <w:rPr>
          <w:i/>
          <w:iCs/>
        </w:rPr>
        <w:t xml:space="preserve">Preview based on Axon's Q1 2026 and Q2 2025 results/filings, management commentary, consensus estimates (~</w:t>
      </w:r>
      <m:oMath>
        <m:r>
          <m:t>868</m:t>
        </m:r>
        <m:r>
          <m:t>M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/</m:t>
        </m:r>
        <m:r>
          <m:t> </m:t>
        </m:r>
      </m:oMath>
      <w:r>
        <w:rPr>
          <w:i/>
          <w:iCs/>
        </w:rPr>
        <w:t xml:space="preserve">1.89 non-GAAP EPS), recent news, and price history through Aug 4, 2026.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2026-08-05T01:06:55Z</dcterms:created>
  <dcterms:modified xsi:type="dcterms:W3CDTF">2026-08-05T01:06:55Z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