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on-earnings-predictions--2026-08-05"/>
    <w:p>
      <w:pPr>
        <w:pStyle w:val="Heading1"/>
      </w:pPr>
      <w:r>
        <w:t xml:space="preserve">AXON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~$894M vs. cons $876.5M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annual recurring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~$1.62B vs. cons $1.60B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~$224M vs. cons $219M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~$3.70B vs. cons $3.66B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~25.5% vs. cons 25.5%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~$450M vs. cons $432M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17.5</m:t>
              </m:r>
              <m:r>
                <m:t>M</m:t>
              </m:r>
              <m:r>
                <m:t>Q</m:t>
              </m:r>
              <m:r>
                <m:t>2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p</m:t>
              </m:r>
              <m:r>
                <m:t>a</m:t>
              </m:r>
              <m:r>
                <m:t>i</m:t>
              </m:r>
              <m:r>
                <m:t>r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40M above consensus implies roughly $2.00B of second-half revenue versus approximately $1.98B embedded in consensus. That supports modest estimate revisions, but the limited out-period uplift and the stock's sharp pre-report rally should cause part of the initial reaction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2026-08-05T01:01:57Z</dcterms:created>
  <dcterms:modified xsi:type="dcterms:W3CDTF">2026-08-05T01:01:57Z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