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axon-q2-2026-earnings-preview"/>
    <w:p>
      <w:pPr>
        <w:pStyle w:val="Heading1"/>
      </w:pPr>
      <w:r>
        <w:t xml:space="preserve">AXON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Axon is scheduled to report</w:t>
      </w:r>
      <w:r>
        <w:t xml:space="preserve"> </w:t>
      </w:r>
      <w:r>
        <w:rPr>
          <w:b/>
          <w:bCs/>
        </w:rPr>
        <w:t xml:space="preserve">today, Wednesday, August 5, 2026</w:t>
      </w:r>
      <w:r>
        <w:t xml:space="preserve">, after the market closes—not tomorrow. The earnings call begins at</w:t>
      </w:r>
      <w:r>
        <w:t xml:space="preserve"> </w:t>
      </w:r>
      <w:r>
        <w:rPr>
          <w:b/>
          <w:bCs/>
        </w:rPr>
        <w:t xml:space="preserve">5:00 p.m. ET</w:t>
      </w:r>
      <w:r>
        <w:t xml:space="preserve">. (</w:t>
      </w:r>
      <w:hyperlink r:id="rId9">
        <w:r>
          <w:rPr>
            <w:rStyle w:val="Hyperlink"/>
          </w:rPr>
          <w:t xml:space="preserve">investor.axon.com</w:t>
        </w:r>
      </w:hyperlink>
      <w:r>
        <w:t xml:space="preserve">)</w:t>
      </w:r>
    </w:p>
    <w:bookmarkStart w:id="11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Axon enters Q2 with unusually strong operating momentum—and a demanding setup.</w:t>
      </w:r>
    </w:p>
    <w:p>
      <w:pPr>
        <w:pStyle w:val="BodyText"/>
      </w:pPr>
      <w:r>
        <w:t xml:space="preserve">The company began 2026 with revenue growth of 34%, accelerating adoption of its AI products, triple-digit growth at Dedrone, and strength across international and enterprise customers. Management raised full-year revenue guidance after Q1 while maintaining its 25.5% adjusted EBITDA-margin target. (</w:t>
      </w:r>
      <w:hyperlink r:id="rId10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issue is not whether Axon is growing. It is whether the report can clear expectations that have risen alongside the stock. AXON closed August 4 at</w:t>
      </w:r>
      <w:r>
        <w:t xml:space="preserve"> </w:t>
      </w:r>
      <w:r>
        <w:rPr>
          <w:b/>
          <w:bCs/>
        </w:rPr>
        <w:t xml:space="preserve">$607.24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57% since the Q1 report</w:t>
      </w:r>
      <w:r>
        <w:t xml:space="preserve"> </w:t>
      </w:r>
      <w:r>
        <w:t xml:space="preserve">and 5% on the session immediately preceding earnings. At that price, the shares trade at approximately</w:t>
      </w:r>
      <w:r>
        <w:t xml:space="preserve"> </w:t>
      </w:r>
      <w:r>
        <w:rPr>
          <w:b/>
          <w:bCs/>
        </w:rPr>
        <w:t xml:space="preserve">14 times estimated 2026 enterprise value/revenue</w:t>
      </w:r>
      <w:r>
        <w:t xml:space="preserve">. A merely in-line quarter could therefore be insufficient.</w:t>
      </w:r>
    </w:p>
    <w:p>
      <w:pPr>
        <w:pStyle w:val="BodyText"/>
      </w:pPr>
      <w:r>
        <w:rPr>
          <w:b/>
          <w:bCs/>
        </w:rPr>
        <w:t xml:space="preserve">The central question:</w:t>
      </w:r>
      <w:r>
        <w:t xml:space="preserve"> </w:t>
      </w:r>
      <w:r>
        <w:t xml:space="preserve">Can AI, counter-drone and international growth sustain revenue above 30% without further eroding gross margin or delaying free-cash-flow conversion?</w:t>
      </w:r>
    </w:p>
    <w:p>
      <w:r>
        <w:pict>
          <v:rect style="width:0;height:1.5pt" o:hralign="center" o:hrstd="t" o:hr="t"/>
        </w:pict>
      </w:r>
    </w:p>
    <w:bookmarkEnd w:id="11"/>
    <w:bookmarkStart w:id="13" w:name="consensus-scoreboard"/>
    <w:p>
      <w:pPr>
        <w:pStyle w:val="Heading2"/>
      </w:pPr>
      <w:r>
        <w:t xml:space="preserve">Consensus scoreboard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$876.5M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$668.5M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+31.1%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Down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Current FY26 revenue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30%–32%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3.61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3.67B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Current FY26 adjusted EBITDA margin target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25.5%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Unchanged after Q1</w:t>
            </w:r>
          </w:p>
        </w:tc>
      </w:tr>
    </w:tbl>
    <w:p>
      <w:pPr>
        <w:pStyle w:val="BodyText"/>
      </w:pPr>
      <w:r>
        <w:t xml:space="preserve">Consensus data are approximately $876.46 million of revenue and $1.83 of EPS. (</w:t>
      </w:r>
      <w:hyperlink r:id="rId12">
        <w:r>
          <w:rPr>
            <w:rStyle w:val="Hyperlink"/>
          </w:rPr>
          <w:t xml:space="preserve">investing.com</w:t>
        </w:r>
      </w:hyperlink>
      <w:r>
        <w:t xml:space="preserve">)</w:t>
      </w:r>
    </w:p>
    <w:p>
      <w:pPr>
        <w:pStyle w:val="BodyText"/>
      </w:pPr>
      <w:r>
        <w:t xml:space="preserve">EPS is likely to be a secondary indicator because Axon’s GAAP and non-GAAP earnings can be affected by stock compensation, investment marks, taxes and acquisition-related items. Revenue, adjusted EBITDA, bookings and forward guidance should matter more.</w:t>
      </w:r>
    </w:p>
    <w:p>
      <w:r>
        <w:pict>
          <v:rect style="width:0;height:1.5pt" o:hralign="center" o:hrstd="t" o:hr="t"/>
        </w:pict>
      </w:r>
    </w:p>
    <w:bookmarkEnd w:id="13"/>
    <w:bookmarkStart w:id="20" w:name="what-matters-most"/>
    <w:p>
      <w:pPr>
        <w:pStyle w:val="Heading2"/>
      </w:pPr>
      <w:r>
        <w:t xml:space="preserve">What matters most</w:t>
      </w:r>
    </w:p>
    <w:bookmarkStart w:id="14" w:name="Xf308f67a526fdb137a53fbd21a0123ea93cea88"/>
    <w:p>
      <w:pPr>
        <w:pStyle w:val="Heading3"/>
      </w:pPr>
      <w:r>
        <w:t xml:space="preserve">1. Revenue needs to beat—not simply match—the 30% growth narrative</w:t>
      </w:r>
    </w:p>
    <w:p>
      <w:pPr>
        <w:pStyle w:val="FirstParagraph"/>
      </w:pPr>
      <w:r>
        <w:t xml:space="preserve">Consensus already assumes 31% growth, close to the midpoint of management’s full-year range. Axon has also beaten revenue expectations in each of the past four quarters, so investors are conditioned to expect upside. (</w:t>
      </w:r>
      <w:hyperlink r:id="rId12">
        <w:r>
          <w:rPr>
            <w:rStyle w:val="Hyperlink"/>
          </w:rPr>
          <w:t xml:space="preserve">investing.com</w:t>
        </w:r>
      </w:hyperlink>
      <w:r>
        <w:t xml:space="preserve">)</w:t>
      </w:r>
    </w:p>
    <w:p>
      <w:pPr>
        <w:pStyle w:val="BodyText"/>
      </w:pPr>
      <w:r>
        <w:t xml:space="preserve">A strong print would likely mean:</w:t>
      </w:r>
    </w:p>
    <w:p>
      <w:pPr>
        <w:pStyle w:val="Compact"/>
        <w:numPr>
          <w:ilvl w:val="0"/>
          <w:numId w:val="1001"/>
        </w:numPr>
      </w:pPr>
      <w:r>
        <w:t xml:space="preserve">Revenue around</w:t>
      </w:r>
      <w:r>
        <w:t xml:space="preserve"> </w:t>
      </w:r>
      <w:r>
        <w:rPr>
          <w:b/>
          <w:bCs/>
        </w:rPr>
        <w:t xml:space="preserve">$890 million or better</w:t>
      </w:r>
    </w:p>
    <w:p>
      <w:pPr>
        <w:pStyle w:val="Compact"/>
        <w:numPr>
          <w:ilvl w:val="0"/>
          <w:numId w:val="1001"/>
        </w:numPr>
      </w:pPr>
      <w:r>
        <w:t xml:space="preserve">Growth of at least</w:t>
      </w:r>
      <w:r>
        <w:t xml:space="preserve"> </w:t>
      </w:r>
      <w:r>
        <w:rPr>
          <w:b/>
          <w:bCs/>
        </w:rPr>
        <w:t xml:space="preserve">33%</w:t>
      </w:r>
    </w:p>
    <w:p>
      <w:pPr>
        <w:pStyle w:val="Compact"/>
        <w:numPr>
          <w:ilvl w:val="0"/>
          <w:numId w:val="1001"/>
        </w:numPr>
      </w:pPr>
      <w:r>
        <w:t xml:space="preserve">Continued balance between Software &amp; Services and Connected Devices</w:t>
      </w:r>
    </w:p>
    <w:p>
      <w:pPr>
        <w:pStyle w:val="Compact"/>
        <w:numPr>
          <w:ilvl w:val="0"/>
          <w:numId w:val="1001"/>
        </w:numPr>
      </w:pPr>
      <w:r>
        <w:t xml:space="preserve">Full-year guidance raised, or commentary implying results will finish near or above the current range’s upper end</w:t>
      </w:r>
    </w:p>
    <w:p>
      <w:pPr>
        <w:pStyle w:val="FirstParagraph"/>
      </w:pPr>
      <w:r>
        <w:t xml:space="preserve">Current guidance implies approximately</w:t>
      </w:r>
      <w:r>
        <w:t xml:space="preserve"> </w:t>
      </w:r>
      <w:r>
        <w:rPr>
          <w:b/>
          <w:bCs/>
        </w:rPr>
        <w:t xml:space="preserve">$3.61 billion to</w:t>
      </w:r>
      <w:r>
        <w:rPr>
          <w:b/>
          <w:bCs/>
        </w:rPr>
        <w:t xml:space="preserve"> </w:t>
      </w:r>
      <m:oMath>
        <m:r>
          <m:t>3.67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2026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.</m:t>
        </m:r>
        <m:r>
          <m:t>A</m:t>
        </m:r>
        <m:r>
          <m:t>s</m:t>
        </m:r>
        <m:r>
          <m:t>s</m:t>
        </m:r>
        <m:r>
          <m:t>u</m:t>
        </m:r>
        <m:r>
          <m:t>m</m:t>
        </m:r>
        <m:r>
          <m:t>i</m:t>
        </m:r>
        <m:r>
          <m:t>n</m:t>
        </m:r>
        <m:r>
          <m:t>g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Q</m:t>
        </m:r>
        <m:r>
          <m:t>2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,</m:t>
        </m:r>
        <m:r>
          <m:t>A</m:t>
        </m:r>
        <m:r>
          <m:t>x</m:t>
        </m:r>
        <m:r>
          <m:t>o</m:t>
        </m:r>
        <m:r>
          <m:t>n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n</m:t>
        </m:r>
        <m:r>
          <m:t>e</m:t>
        </m:r>
        <m:r>
          <m:t>e</m:t>
        </m:r>
        <m:r>
          <m:t>d</m:t>
        </m:r>
        <m:r>
          <m:t>Q</m:t>
        </m:r>
        <m:r>
          <m:t>3</m:t>
        </m:r>
        <m:r>
          <m:t>a</m:t>
        </m:r>
        <m:r>
          <m:t>n</m:t>
        </m:r>
        <m:r>
          <m:t>d</m:t>
        </m:r>
        <m:r>
          <m:t>Q</m:t>
        </m:r>
        <m:r>
          <m:t>4</m:t>
        </m:r>
        <m:r>
          <m:t>t</m:t>
        </m:r>
        <m:r>
          <m:t>o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965 million to $993 million</w:t>
      </w:r>
      <w:r>
        <w:t xml:space="preserve"> </w:t>
      </w:r>
      <w:r>
        <w:t xml:space="preserve">each. That is achievable given normal second-half seasonality, but it leaves management dependent on continued large deployments and timely hardware shipments.</w:t>
      </w:r>
    </w:p>
    <w:bookmarkEnd w:id="14"/>
    <w:bookmarkStart w:id="15" w:name="Xb0ce9adf29d4802a3ec106fccb7b2a0e7ab4a9d"/>
    <w:p>
      <w:pPr>
        <w:pStyle w:val="Heading3"/>
      </w:pPr>
      <w:r>
        <w:t xml:space="preserve">2. AI must progress from a compelling narrative to a material revenue engine</w:t>
      </w:r>
    </w:p>
    <w:p>
      <w:pPr>
        <w:pStyle w:val="FirstParagraph"/>
      </w:pPr>
      <w:r>
        <w:t xml:space="preserve">Q1 AI-product revenue grew more than 700%, albeit from a small base, while AI bookings rose 140%. Management said nearly all large U.S. law-enforcement agencies were including AI in new purchases. The AI Era Plan is also helping Axon reopen existing customer contracts before their scheduled expiration.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02"/>
        </w:numPr>
      </w:pPr>
      <w:r>
        <w:t xml:space="preserve">Continued triple-digit AI bookings growth</w:t>
      </w:r>
    </w:p>
    <w:p>
      <w:pPr>
        <w:pStyle w:val="Compact"/>
        <w:numPr>
          <w:ilvl w:val="0"/>
          <w:numId w:val="1002"/>
        </w:numPr>
      </w:pPr>
      <w:r>
        <w:t xml:space="preserve">A clearer indication of AI revenue scale</w:t>
      </w:r>
    </w:p>
    <w:p>
      <w:pPr>
        <w:pStyle w:val="Compact"/>
        <w:numPr>
          <w:ilvl w:val="0"/>
          <w:numId w:val="1002"/>
        </w:numPr>
      </w:pPr>
      <w:r>
        <w:t xml:space="preserve">AI Era Plan attach rates on major contract renewals</w:t>
      </w:r>
    </w:p>
    <w:p>
      <w:pPr>
        <w:pStyle w:val="Compact"/>
        <w:numPr>
          <w:ilvl w:val="0"/>
          <w:numId w:val="1002"/>
        </w:numPr>
      </w:pPr>
      <w:r>
        <w:t xml:space="preserve">Adoption of Draft One and Axon Assistant</w:t>
      </w:r>
    </w:p>
    <w:p>
      <w:pPr>
        <w:pStyle w:val="Compact"/>
        <w:numPr>
          <w:ilvl w:val="0"/>
          <w:numId w:val="1002"/>
        </w:numPr>
      </w:pPr>
      <w:r>
        <w:t xml:space="preserve">Timing for Axon Vision, Guardian, Brief One and Form One</w:t>
      </w:r>
    </w:p>
    <w:p>
      <w:pPr>
        <w:pStyle w:val="Compact"/>
        <w:numPr>
          <w:ilvl w:val="0"/>
          <w:numId w:val="1002"/>
        </w:numPr>
      </w:pPr>
      <w:r>
        <w:t xml:space="preserve">Evidence that AI is sustaining net revenue retention rather than merely shifting customers between bundles</w:t>
      </w:r>
    </w:p>
    <w:p>
      <w:pPr>
        <w:pStyle w:val="FirstParagraph"/>
      </w:pPr>
      <w:r>
        <w:t xml:space="preserve">The key operating metrics are</w:t>
      </w:r>
      <w:r>
        <w:t xml:space="preserve"> </w:t>
      </w:r>
      <w:r>
        <w:rPr>
          <w:b/>
          <w:bCs/>
        </w:rPr>
        <w:t xml:space="preserve">annual recurring revenue and net revenue retention</w:t>
      </w:r>
      <w:r>
        <w:t xml:space="preserve">. Q1 ARR was $1.49 billion, up 35%, and NRR was 125%. (</w:t>
      </w:r>
      <w:hyperlink r:id="rId10">
        <w:r>
          <w:rPr>
            <w:rStyle w:val="Hyperlink"/>
          </w:rPr>
          <w:t xml:space="preserve">sec.gov</w:t>
        </w:r>
      </w:hyperlink>
      <w:r>
        <w:t xml:space="preserve">) A strong Q2 would keep ARR growth near or above 35% and NRR around 125%.</w:t>
      </w:r>
    </w:p>
    <w:p>
      <w:pPr>
        <w:pStyle w:val="BodyText"/>
      </w:pPr>
      <w:r>
        <w:t xml:space="preserve">A drop in NRR toward 120% would not break the thesis, but it would weaken the argument that AI-driven expansion is accelerating.</w:t>
      </w:r>
    </w:p>
    <w:bookmarkEnd w:id="15"/>
    <w:bookmarkStart w:id="16" w:name="X5e3b9cb12053a8f90bac0ee0ae3769b4d799076"/>
    <w:p>
      <w:pPr>
        <w:pStyle w:val="Heading3"/>
      </w:pPr>
      <w:r>
        <w:t xml:space="preserve">3. Dedrone is the biggest upside driver—and the primary margin tension</w:t>
      </w:r>
    </w:p>
    <w:p>
      <w:pPr>
        <w:pStyle w:val="FirstParagraph"/>
      </w:pPr>
      <w:r>
        <w:t xml:space="preserve">Dedrone revenue grew more than 300% in Q1, while management said bookings increased about 500%. Counter-drone demand is opening doors across state and local government, federal agencies, international customers and enterprise security.</w:t>
      </w:r>
    </w:p>
    <w:p>
      <w:pPr>
        <w:pStyle w:val="BodyText"/>
      </w:pPr>
      <w:r>
        <w:t xml:space="preserve">Management also indicated that product availability—not demand—was the principal near-term constraint.</w:t>
      </w:r>
    </w:p>
    <w:p>
      <w:pPr>
        <w:pStyle w:val="BodyText"/>
      </w:pPr>
      <w:r>
        <w:t xml:space="preserve">That creates several questions for Q2:</w:t>
      </w:r>
    </w:p>
    <w:p>
      <w:pPr>
        <w:pStyle w:val="Compact"/>
        <w:numPr>
          <w:ilvl w:val="0"/>
          <w:numId w:val="1003"/>
        </w:numPr>
      </w:pPr>
      <w:r>
        <w:t xml:space="preserve">Is Dedrone still growing at a triple-digit rate?</w:t>
      </w:r>
    </w:p>
    <w:p>
      <w:pPr>
        <w:pStyle w:val="Compact"/>
        <w:numPr>
          <w:ilvl w:val="0"/>
          <w:numId w:val="1003"/>
        </w:numPr>
      </w:pPr>
      <w:r>
        <w:t xml:space="preserve">Has manufacturing capacity improved?</w:t>
      </w:r>
    </w:p>
    <w:p>
      <w:pPr>
        <w:pStyle w:val="Compact"/>
        <w:numPr>
          <w:ilvl w:val="0"/>
          <w:numId w:val="1003"/>
        </w:numPr>
      </w:pPr>
      <w:r>
        <w:t xml:space="preserve">Are orders tied mainly to temporary events, or converting into permanent infrastructure?</w:t>
      </w:r>
    </w:p>
    <w:p>
      <w:pPr>
        <w:pStyle w:val="Compact"/>
        <w:numPr>
          <w:ilvl w:val="0"/>
          <w:numId w:val="1003"/>
        </w:numPr>
      </w:pPr>
      <w:r>
        <w:t xml:space="preserve">Is Dedrone generating cross-selling into Fusus, drones, software and other Axon products?</w:t>
      </w:r>
    </w:p>
    <w:p>
      <w:pPr>
        <w:pStyle w:val="Compact"/>
        <w:numPr>
          <w:ilvl w:val="0"/>
          <w:numId w:val="1003"/>
        </w:numPr>
      </w:pPr>
      <w:r>
        <w:t xml:space="preserve">Can hardware margins improve as production scales?</w:t>
      </w:r>
    </w:p>
    <w:p>
      <w:pPr>
        <w:pStyle w:val="FirstParagraph"/>
      </w:pPr>
      <w:r>
        <w:t xml:space="preserve">Dedrone is strategically valuable but currently dilutive to Connected Devices margins. Q1 adjusted Connected Devices gross margin fell 240 basis points year over year to 50.4%, reflecting tariffs and increased Dedrone mix. (</w:t>
      </w:r>
      <w:hyperlink r:id="rId10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Investors should tolerate some gross-margin pressure if Dedrone bookings remain exceptional. The less favorable outcome would be lower margins</w:t>
      </w:r>
      <w:r>
        <w:t xml:space="preserve"> </w:t>
      </w:r>
      <w:r>
        <w:rPr>
          <w:b/>
          <w:bCs/>
        </w:rPr>
        <w:t xml:space="preserve">without</w:t>
      </w:r>
      <w:r>
        <w:t xml:space="preserve"> </w:t>
      </w:r>
      <w:r>
        <w:t xml:space="preserve">continued acceleration in bookings or revenue.</w:t>
      </w:r>
    </w:p>
    <w:bookmarkEnd w:id="16"/>
    <w:bookmarkStart w:id="17" w:name="Xe3c489b11ac0d4f976170fcaddd12260bdb6900"/>
    <w:p>
      <w:pPr>
        <w:pStyle w:val="Heading3"/>
      </w:pPr>
      <w:r>
        <w:t xml:space="preserve">4. International growth needs to prove durable</w:t>
      </w:r>
    </w:p>
    <w:p>
      <w:pPr>
        <w:pStyle w:val="FirstParagraph"/>
      </w:pPr>
      <w:r>
        <w:t xml:space="preserve">International revenue more than doubled in Q1 and represented 20% of company revenue, compared with 12% one year earlier. Management attributed the strength to improved go-to-market execution, broader cloud acceptance and Dedrone-led opportunities.</w:t>
      </w:r>
    </w:p>
    <w:p>
      <w:pPr>
        <w:pStyle w:val="BodyText"/>
      </w:pPr>
      <w:r>
        <w:t xml:space="preserve">International sales can be lumpy because national deployments and hardware orders are large. Still, another quarter around 20% of revenue would support the view that Axon has developed a durable second growth engine beyond U.S. state and local law enforcement.</w:t>
      </w:r>
    </w:p>
    <w:p>
      <w:pPr>
        <w:pStyle w:val="BodyText"/>
      </w:pPr>
      <w:r>
        <w:t xml:space="preserve">Important commentary will include:</w:t>
      </w:r>
    </w:p>
    <w:p>
      <w:pPr>
        <w:pStyle w:val="Compact"/>
        <w:numPr>
          <w:ilvl w:val="0"/>
          <w:numId w:val="1004"/>
        </w:numPr>
      </w:pPr>
      <w:r>
        <w:t xml:space="preserve">National-scale cloud deployments</w:t>
      </w:r>
    </w:p>
    <w:p>
      <w:pPr>
        <w:pStyle w:val="Compact"/>
        <w:numPr>
          <w:ilvl w:val="0"/>
          <w:numId w:val="1004"/>
        </w:numPr>
      </w:pPr>
      <w:r>
        <w:t xml:space="preserve">Dedrone-led international contracts</w:t>
      </w:r>
    </w:p>
    <w:p>
      <w:pPr>
        <w:pStyle w:val="Compact"/>
        <w:numPr>
          <w:ilvl w:val="0"/>
          <w:numId w:val="1004"/>
        </w:numPr>
      </w:pPr>
      <w:r>
        <w:t xml:space="preserve">The mix between hardware and recurring software</w:t>
      </w:r>
    </w:p>
    <w:p>
      <w:pPr>
        <w:pStyle w:val="Compact"/>
        <w:numPr>
          <w:ilvl w:val="0"/>
          <w:numId w:val="1004"/>
        </w:numPr>
      </w:pPr>
      <w:r>
        <w:t xml:space="preserve">Whether international deals are expanding into the broader Axon ecosystem</w:t>
      </w:r>
    </w:p>
    <w:p>
      <w:pPr>
        <w:pStyle w:val="Compact"/>
        <w:numPr>
          <w:ilvl w:val="0"/>
          <w:numId w:val="1004"/>
        </w:numPr>
      </w:pPr>
      <w:r>
        <w:t xml:space="preserve">Any procurement or geopolitical delays</w:t>
      </w:r>
    </w:p>
    <w:bookmarkEnd w:id="17"/>
    <w:bookmarkStart w:id="18" w:name="X86cdb46a9f3300415f52e229167220c3b520660"/>
    <w:p>
      <w:pPr>
        <w:pStyle w:val="Heading3"/>
      </w:pPr>
      <w:r>
        <w:t xml:space="preserve">5. Margins will reveal the quality of the growth</w:t>
      </w:r>
    </w:p>
    <w:p>
      <w:pPr>
        <w:pStyle w:val="FirstParagraph"/>
      </w:pPr>
      <w:r>
        <w:t xml:space="preserve">Q1 adjusted EBITDA was $202 million, or 25.0% of revenue. Management reiterated a 25.5% full-year margin and said operating leverage should improve during the second half. (</w:t>
      </w:r>
      <w:hyperlink r:id="rId10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margin puts and takes are straightforward:</w:t>
      </w:r>
    </w:p>
    <w:p>
      <w:pPr>
        <w:pStyle w:val="BodyText"/>
      </w:pPr>
      <w:r>
        <w:rPr>
          <w:b/>
          <w:bCs/>
        </w:rPr>
        <w:t xml:space="preserve">Positive</w:t>
      </w:r>
    </w:p>
    <w:p>
      <w:pPr>
        <w:pStyle w:val="Compact"/>
        <w:numPr>
          <w:ilvl w:val="0"/>
          <w:numId w:val="1005"/>
        </w:numPr>
      </w:pPr>
      <w:r>
        <w:t xml:space="preserve">Higher recurring-software mix</w:t>
      </w:r>
    </w:p>
    <w:p>
      <w:pPr>
        <w:pStyle w:val="Compact"/>
        <w:numPr>
          <w:ilvl w:val="0"/>
          <w:numId w:val="1005"/>
        </w:numPr>
      </w:pPr>
      <w:r>
        <w:t xml:space="preserve">Software-only gross margin above 80%</w:t>
      </w:r>
    </w:p>
    <w:p>
      <w:pPr>
        <w:pStyle w:val="Compact"/>
        <w:numPr>
          <w:ilvl w:val="0"/>
          <w:numId w:val="1005"/>
        </w:numPr>
      </w:pPr>
      <w:r>
        <w:t xml:space="preserve">Scale benefits from rapid revenue growth</w:t>
      </w:r>
    </w:p>
    <w:p>
      <w:pPr>
        <w:pStyle w:val="Compact"/>
        <w:numPr>
          <w:ilvl w:val="0"/>
          <w:numId w:val="1005"/>
        </w:numPr>
      </w:pPr>
      <w:r>
        <w:t xml:space="preserve">Greater AI contribution</w:t>
      </w:r>
    </w:p>
    <w:p>
      <w:pPr>
        <w:pStyle w:val="Compact"/>
        <w:numPr>
          <w:ilvl w:val="0"/>
          <w:numId w:val="1005"/>
        </w:numPr>
      </w:pPr>
      <w:r>
        <w:t xml:space="preserve">Dedrone manufacturing efficiencies</w:t>
      </w:r>
    </w:p>
    <w:p>
      <w:pPr>
        <w:pStyle w:val="FirstParagraph"/>
      </w:pPr>
      <w:r>
        <w:rPr>
          <w:b/>
          <w:bCs/>
        </w:rPr>
        <w:t xml:space="preserve">Negative</w:t>
      </w:r>
    </w:p>
    <w:p>
      <w:pPr>
        <w:pStyle w:val="Compact"/>
        <w:numPr>
          <w:ilvl w:val="0"/>
          <w:numId w:val="1006"/>
        </w:numPr>
      </w:pPr>
      <w:r>
        <w:t xml:space="preserve">Dedrone and other lower-margin hardware</w:t>
      </w:r>
    </w:p>
    <w:p>
      <w:pPr>
        <w:pStyle w:val="Compact"/>
        <w:numPr>
          <w:ilvl w:val="0"/>
          <w:numId w:val="1006"/>
        </w:numPr>
      </w:pPr>
      <w:r>
        <w:t xml:space="preserve">Tariffs and component costs</w:t>
      </w:r>
    </w:p>
    <w:p>
      <w:pPr>
        <w:pStyle w:val="Compact"/>
        <w:numPr>
          <w:ilvl w:val="0"/>
          <w:numId w:val="1006"/>
        </w:numPr>
      </w:pPr>
      <w:r>
        <w:t xml:space="preserve">Professional-services costs for implementations</w:t>
      </w:r>
    </w:p>
    <w:p>
      <w:pPr>
        <w:pStyle w:val="Compact"/>
        <w:numPr>
          <w:ilvl w:val="0"/>
          <w:numId w:val="1006"/>
        </w:numPr>
      </w:pPr>
      <w:r>
        <w:t xml:space="preserve">Continued R&amp;D investment</w:t>
      </w:r>
    </w:p>
    <w:p>
      <w:pPr>
        <w:pStyle w:val="Compact"/>
        <w:numPr>
          <w:ilvl w:val="0"/>
          <w:numId w:val="1006"/>
        </w:numPr>
      </w:pPr>
      <w:r>
        <w:t xml:space="preserve">Integration costs from Carbyne and Prepared</w:t>
      </w:r>
    </w:p>
    <w:p>
      <w:pPr>
        <w:pStyle w:val="FirstParagraph"/>
      </w:pPr>
      <w:r>
        <w:t xml:space="preserve">An adjusted EBITDA margin around</w:t>
      </w:r>
      <w:r>
        <w:t xml:space="preserve"> </w:t>
      </w:r>
      <w:r>
        <w:rPr>
          <w:b/>
          <w:bCs/>
        </w:rPr>
        <w:t xml:space="preserve">25%–26%</w:t>
      </w:r>
      <w:r>
        <w:t xml:space="preserve"> </w:t>
      </w:r>
      <w:r>
        <w:t xml:space="preserve">would be healthy. More important than a few basis points in Q2 is whether management remains confident in 25.5% for the year while sustaining 30%-plus revenue growth.</w:t>
      </w:r>
    </w:p>
    <w:p>
      <w:pPr>
        <w:pStyle w:val="BodyText"/>
      </w:pPr>
      <w:r>
        <w:t xml:space="preserve">A guide that sacrifices margin to fund unexpectedly stronger demand could be defensible. A margin reduction caused by tariffs, services costs or acquisition integration would be less favorably received.</w:t>
      </w:r>
    </w:p>
    <w:bookmarkEnd w:id="18"/>
    <w:bookmarkStart w:id="19" w:name="X84bd06203bb02650db0a36c727aecb2fe4a5a7f"/>
    <w:p>
      <w:pPr>
        <w:pStyle w:val="Heading3"/>
      </w:pPr>
      <w:r>
        <w:t xml:space="preserve">6. Free cash flow is a credibility test</w:t>
      </w:r>
    </w:p>
    <w:p>
      <w:pPr>
        <w:pStyle w:val="FirstParagraph"/>
      </w:pPr>
      <w:r>
        <w:t xml:space="preserve">Q1 free cash flow was negative</w:t>
      </w:r>
      <w:r>
        <w:t xml:space="preserve"> </w:t>
      </w:r>
      <m:oMath>
        <m:r>
          <m:t>55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p</m:t>
        </m:r>
        <m:r>
          <m:t>r</m:t>
        </m:r>
        <m:r>
          <m:t>i</m:t>
        </m:r>
        <m:r>
          <m:t>m</m:t>
        </m:r>
        <m:r>
          <m:t>a</m:t>
        </m:r>
        <m:r>
          <m:t>r</m:t>
        </m:r>
        <m:r>
          <m:t>i</m:t>
        </m:r>
        <m:r>
          <m:t>l</m:t>
        </m:r>
        <m:r>
          <m:t>y</m:t>
        </m:r>
        <m:r>
          <m:t>b</m:t>
        </m:r>
        <m:r>
          <m:t>e</m:t>
        </m:r>
        <m:r>
          <m:t>c</m:t>
        </m:r>
        <m:r>
          <m:t>a</m:t>
        </m:r>
        <m:r>
          <m:t>u</m:t>
        </m:r>
        <m:r>
          <m:t>s</m:t>
        </m:r>
        <m:r>
          <m:t>e</m:t>
        </m:r>
        <m:r>
          <m:t>o</m:t>
        </m:r>
        <m:r>
          <m:t>f</m:t>
        </m:r>
        <m:r>
          <m:t>n</m:t>
        </m:r>
        <m:r>
          <m:t>o</m:t>
        </m:r>
        <m:r>
          <m:t>r</m:t>
        </m:r>
        <m:r>
          <m:t>m</m:t>
        </m:r>
        <m:r>
          <m:t>a</m:t>
        </m:r>
        <m:r>
          <m:t>l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t>a</m:t>
        </m:r>
        <m:r>
          <m:t>l</m:t>
        </m:r>
        <m:r>
          <m:t>p</m:t>
        </m:r>
        <m:r>
          <m:t>a</m:t>
        </m:r>
        <m:r>
          <m:t>y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t>a</m:t>
        </m:r>
        <m:r>
          <m:t>n</m:t>
        </m:r>
        <m:r>
          <m:t>d</m:t>
        </m:r>
        <m:r>
          <m:t>i</m:t>
        </m:r>
        <m:r>
          <m:t>n</m:t>
        </m:r>
        <m:r>
          <m:t>v</m:t>
        </m:r>
        <m:r>
          <m:t>e</m:t>
        </m:r>
        <m:r>
          <m:t>n</m:t>
        </m:r>
        <m:r>
          <m:t>t</m:t>
        </m:r>
        <m:r>
          <m:t>o</m:t>
        </m:r>
        <m:r>
          <m:t>r</m:t>
        </m:r>
        <m:r>
          <m:t>y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n</m:t>
        </m:r>
        <m:r>
          <m:t>e</m:t>
        </m:r>
        <m:r>
          <m:t>v</m:t>
        </m:r>
        <m:r>
          <m:t>e</m:t>
        </m:r>
        <m:r>
          <m:t>r</m:t>
        </m:r>
        <m:r>
          <m:t>t</m:t>
        </m:r>
        <m:r>
          <m:t>h</m:t>
        </m:r>
        <m:r>
          <m:t>e</m:t>
        </m:r>
        <m:r>
          <m:t>l</m:t>
        </m:r>
        <m:r>
          <m:t>e</m:t>
        </m:r>
        <m:r>
          <m:t>s</m:t>
        </m:r>
        <m:r>
          <m:t>s</m:t>
        </m:r>
        <m:r>
          <m:t>m</m:t>
        </m:r>
        <m:r>
          <m:t>a</m:t>
        </m:r>
        <m:r>
          <m:t>i</m:t>
        </m:r>
        <m:r>
          <m:t>n</m:t>
        </m:r>
        <m:r>
          <m:t>t</m:t>
        </m:r>
        <m:r>
          <m:t>a</m:t>
        </m:r>
        <m:r>
          <m:t>i</m:t>
        </m:r>
        <m:r>
          <m:t>n</m:t>
        </m:r>
        <m:r>
          <m:t>e</m:t>
        </m:r>
        <m:r>
          <m:t>d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f</m:t>
        </m:r>
        <m:r>
          <m:t>o</m:t>
        </m:r>
        <m:r>
          <m:t>r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450 million of full-year free cash flow** and more than $600 million of operating cash flow. (</w:t>
      </w:r>
      <w:hyperlink r:id="rId10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That implies a substantial cash-generation ramp during the remaining three quarters.</w:t>
      </w:r>
    </w:p>
    <w:p>
      <w:pPr>
        <w:pStyle w:val="BodyText"/>
      </w:pPr>
      <w:r>
        <w:t xml:space="preserve">Watch:</w:t>
      </w:r>
    </w:p>
    <w:p>
      <w:pPr>
        <w:pStyle w:val="Compact"/>
        <w:numPr>
          <w:ilvl w:val="0"/>
          <w:numId w:val="1007"/>
        </w:numPr>
      </w:pPr>
      <w:r>
        <w:t xml:space="preserve">Inventory growth</w:t>
      </w:r>
    </w:p>
    <w:p>
      <w:pPr>
        <w:pStyle w:val="Compact"/>
        <w:numPr>
          <w:ilvl w:val="0"/>
          <w:numId w:val="1007"/>
        </w:numPr>
      </w:pPr>
      <w:r>
        <w:t xml:space="preserve">Accounts receivable and contract assets</w:t>
      </w:r>
    </w:p>
    <w:p>
      <w:pPr>
        <w:pStyle w:val="Compact"/>
        <w:numPr>
          <w:ilvl w:val="0"/>
          <w:numId w:val="1007"/>
        </w:numPr>
      </w:pPr>
      <w:r>
        <w:t xml:space="preserve">Cash collections on large deployments</w:t>
      </w:r>
    </w:p>
    <w:p>
      <w:pPr>
        <w:pStyle w:val="Compact"/>
        <w:numPr>
          <w:ilvl w:val="0"/>
          <w:numId w:val="1007"/>
        </w:numPr>
      </w:pPr>
      <w:r>
        <w:t xml:space="preserve">Acquisition-related cash use</w:t>
      </w:r>
    </w:p>
    <w:p>
      <w:pPr>
        <w:pStyle w:val="Compact"/>
        <w:numPr>
          <w:ilvl w:val="0"/>
          <w:numId w:val="1007"/>
        </w:numPr>
      </w:pPr>
      <w:r>
        <w:t xml:space="preserve">Whether the $450 million outlook is reaffirmed</w:t>
      </w:r>
    </w:p>
    <w:p>
      <w:pPr>
        <w:pStyle w:val="Compact"/>
        <w:numPr>
          <w:ilvl w:val="0"/>
          <w:numId w:val="1007"/>
        </w:numPr>
      </w:pPr>
      <w:r>
        <w:t xml:space="preserve">Explanations for any further working-capital consumption</w:t>
      </w:r>
    </w:p>
    <w:p>
      <w:pPr>
        <w:pStyle w:val="FirstParagraph"/>
      </w:pPr>
      <w:r>
        <w:t xml:space="preserve">Inventory investment is not necessarily negative: management deliberately built supply to avoid constraining Dedrone, TASER, camera and international growth. But investors need evidence that inventory is converting into shipments and cash rather than continuing to accumulate.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secondary-growth-initiatives"/>
    <w:p>
      <w:pPr>
        <w:pStyle w:val="Heading2"/>
      </w:pPr>
      <w:r>
        <w:t xml:space="preserve">Secondary growth initiatives</w:t>
      </w:r>
    </w:p>
    <w:p>
      <w:pPr>
        <w:pStyle w:val="FirstParagraph"/>
      </w:pPr>
      <w:r>
        <w:t xml:space="preserve">Several businesses are unlikely to be individually material to Q2 revenue but could affect the longer-term narrative: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Axon 911:</w:t>
      </w:r>
      <w:r>
        <w:t xml:space="preserve"> </w:t>
      </w:r>
      <w:r>
        <w:t xml:space="preserve">Integration of Prepared and Carbyne, customer wins and cross-selling with Fusus and drone-as-first-responder workflows.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Enterprise:</w:t>
      </w:r>
      <w:r>
        <w:t xml:space="preserve"> </w:t>
      </w:r>
      <w:r>
        <w:t xml:space="preserve">Follow-through on the previously disclosed $40 million telecom opportunity.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Axon Body Mini:</w:t>
      </w:r>
      <w:r>
        <w:t xml:space="preserve"> </w:t>
      </w:r>
      <w:r>
        <w:t xml:space="preserve">Production units were expected to begin shipping in July.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Vehicle Intelligence/Outpost:</w:t>
      </w:r>
      <w:r>
        <w:t xml:space="preserve"> </w:t>
      </w:r>
      <w:r>
        <w:t xml:space="preserve">Early deployments and competitive replacements in license-plate recognition.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Federal:</w:t>
      </w:r>
      <w:r>
        <w:t xml:space="preserve"> </w:t>
      </w:r>
      <w:r>
        <w:t xml:space="preserve">Dedrone, TASER and body-camera opportunities following a rebuilding of the federal sales organization.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Axon Vision:</w:t>
      </w:r>
      <w:r>
        <w:t xml:space="preserve"> </w:t>
      </w:r>
      <w:r>
        <w:t xml:space="preserve">Field trials were targeted for mid-2026, with general availability expected in early Q4.</w:t>
      </w:r>
    </w:p>
    <w:p>
      <w:pPr>
        <w:pStyle w:val="FirstParagraph"/>
      </w:pPr>
      <w:r>
        <w:t xml:space="preserve">These initiatives matter less for the immediate consensus beat than for confidence in Axon’s 2028 targets.</w:t>
      </w:r>
    </w:p>
    <w:p>
      <w:r>
        <w:pict>
          <v:rect style="width:0;height:1.5pt" o:hralign="center" o:hrstd="t" o:hr="t"/>
        </w:pict>
      </w:r>
    </w:p>
    <w:bookmarkEnd w:id="21"/>
    <w:bookmarkStart w:id="25" w:name="guidance-is-likely-to-drive-the-reaction"/>
    <w:p>
      <w:pPr>
        <w:pStyle w:val="Heading2"/>
      </w:pPr>
      <w:r>
        <w:t xml:space="preserve">Guidance is likely to drive the reaction</w:t>
      </w:r>
    </w:p>
    <w:p>
      <w:pPr>
        <w:pStyle w:val="FirstParagraph"/>
      </w:pPr>
      <w:r>
        <w:t xml:space="preserve">Axon raised its 2026 revenue-growth outlook after Q1 from 27%–30% to</w:t>
      </w:r>
      <w:r>
        <w:t xml:space="preserve"> </w:t>
      </w:r>
      <w:r>
        <w:rPr>
          <w:b/>
          <w:bCs/>
        </w:rPr>
        <w:t xml:space="preserve">30%–32%</w:t>
      </w:r>
      <w:r>
        <w:t xml:space="preserve">, while retaining the 25.5% adjusted EBITDA-margin target. (</w:t>
      </w:r>
      <w:hyperlink r:id="rId10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Given the stock’s pre-earnings rally, the likely market thresholds are:</w:t>
      </w:r>
    </w:p>
    <w:bookmarkStart w:id="22" w:name="bullish"/>
    <w:p>
      <w:pPr>
        <w:pStyle w:val="Heading3"/>
      </w:pPr>
      <w:r>
        <w:t xml:space="preserve">Bullish</w:t>
      </w:r>
    </w:p>
    <w:p>
      <w:pPr>
        <w:pStyle w:val="Compact"/>
        <w:numPr>
          <w:ilvl w:val="0"/>
          <w:numId w:val="1009"/>
        </w:numPr>
      </w:pPr>
      <w:r>
        <w:t xml:space="preserve">Q2 revenue above approximately $890 million</w:t>
      </w:r>
    </w:p>
    <w:p>
      <w:pPr>
        <w:pStyle w:val="Compact"/>
        <w:numPr>
          <w:ilvl w:val="0"/>
          <w:numId w:val="1009"/>
        </w:numPr>
      </w:pPr>
      <w:r>
        <w:t xml:space="preserve">ARR growth of 35% or better</w:t>
      </w:r>
    </w:p>
    <w:p>
      <w:pPr>
        <w:pStyle w:val="Compact"/>
        <w:numPr>
          <w:ilvl w:val="0"/>
          <w:numId w:val="1009"/>
        </w:numPr>
      </w:pPr>
      <w:r>
        <w:t xml:space="preserve">NRR at 125% or higher</w:t>
      </w:r>
    </w:p>
    <w:p>
      <w:pPr>
        <w:pStyle w:val="Compact"/>
        <w:numPr>
          <w:ilvl w:val="0"/>
          <w:numId w:val="1009"/>
        </w:numPr>
      </w:pPr>
      <w:r>
        <w:t xml:space="preserve">Dedrone and AI bookings remain exceptionally strong</w:t>
      </w:r>
    </w:p>
    <w:p>
      <w:pPr>
        <w:pStyle w:val="Compact"/>
        <w:numPr>
          <w:ilvl w:val="0"/>
          <w:numId w:val="1009"/>
        </w:numPr>
      </w:pPr>
      <w:r>
        <w:t xml:space="preserve">Full-year revenue guidance raised to something like</w:t>
      </w:r>
      <w:r>
        <w:t xml:space="preserve"> </w:t>
      </w:r>
      <w:r>
        <w:rPr>
          <w:b/>
          <w:bCs/>
        </w:rPr>
        <w:t xml:space="preserve">32%–34%</w:t>
      </w:r>
    </w:p>
    <w:p>
      <w:pPr>
        <w:pStyle w:val="Compact"/>
        <w:numPr>
          <w:ilvl w:val="0"/>
          <w:numId w:val="1009"/>
        </w:numPr>
      </w:pPr>
      <w:r>
        <w:t xml:space="preserve">25.5% EBITDA margin and $450 million FCF outlook maintained</w:t>
      </w:r>
    </w:p>
    <w:bookmarkEnd w:id="22"/>
    <w:bookmarkStart w:id="23" w:name="acceptable-but-potentially-volatile"/>
    <w:p>
      <w:pPr>
        <w:pStyle w:val="Heading3"/>
      </w:pPr>
      <w:r>
        <w:t xml:space="preserve">Acceptable but potentially volatile</w:t>
      </w:r>
    </w:p>
    <w:p>
      <w:pPr>
        <w:pStyle w:val="Compact"/>
        <w:numPr>
          <w:ilvl w:val="0"/>
          <w:numId w:val="1010"/>
        </w:numPr>
      </w:pPr>
      <w:r>
        <w:t xml:space="preserve">Revenue between approximately $875 million and $890 million</w:t>
      </w:r>
    </w:p>
    <w:p>
      <w:pPr>
        <w:pStyle w:val="Compact"/>
        <w:numPr>
          <w:ilvl w:val="0"/>
          <w:numId w:val="1010"/>
        </w:numPr>
      </w:pPr>
      <w:r>
        <w:t xml:space="preserve">Existing 30%–32% guidance reiterated</w:t>
      </w:r>
    </w:p>
    <w:p>
      <w:pPr>
        <w:pStyle w:val="Compact"/>
        <w:numPr>
          <w:ilvl w:val="0"/>
          <w:numId w:val="1010"/>
        </w:numPr>
      </w:pPr>
      <w:r>
        <w:t xml:space="preserve">Margins around plan</w:t>
      </w:r>
    </w:p>
    <w:p>
      <w:pPr>
        <w:pStyle w:val="Compact"/>
        <w:numPr>
          <w:ilvl w:val="0"/>
          <w:numId w:val="1010"/>
        </w:numPr>
      </w:pPr>
      <w:r>
        <w:t xml:space="preserve">Management emphasizes conservatism and strong second-half visibility</w:t>
      </w:r>
    </w:p>
    <w:bookmarkEnd w:id="23"/>
    <w:bookmarkStart w:id="24" w:name="bearish"/>
    <w:p>
      <w:pPr>
        <w:pStyle w:val="Heading3"/>
      </w:pPr>
      <w:r>
        <w:t xml:space="preserve">Bearish</w:t>
      </w:r>
    </w:p>
    <w:p>
      <w:pPr>
        <w:pStyle w:val="Compact"/>
        <w:numPr>
          <w:ilvl w:val="0"/>
          <w:numId w:val="1011"/>
        </w:numPr>
      </w:pPr>
      <w:r>
        <w:t xml:space="preserve">Revenue below consensus or growth below 30%</w:t>
      </w:r>
    </w:p>
    <w:p>
      <w:pPr>
        <w:pStyle w:val="Compact"/>
        <w:numPr>
          <w:ilvl w:val="0"/>
          <w:numId w:val="1011"/>
        </w:numPr>
      </w:pPr>
      <w:r>
        <w:t xml:space="preserve">ARR growth decelerates materially</w:t>
      </w:r>
    </w:p>
    <w:p>
      <w:pPr>
        <w:pStyle w:val="Compact"/>
        <w:numPr>
          <w:ilvl w:val="0"/>
          <w:numId w:val="1011"/>
        </w:numPr>
      </w:pPr>
      <w:r>
        <w:t xml:space="preserve">Dedrone growth slows while hardware margins remain pressured</w:t>
      </w:r>
    </w:p>
    <w:p>
      <w:pPr>
        <w:pStyle w:val="Compact"/>
        <w:numPr>
          <w:ilvl w:val="0"/>
          <w:numId w:val="1011"/>
        </w:numPr>
      </w:pPr>
      <w:r>
        <w:t xml:space="preserve">Full-year guidance remains unchanged despite a headline beat</w:t>
      </w:r>
    </w:p>
    <w:p>
      <w:pPr>
        <w:pStyle w:val="Compact"/>
        <w:numPr>
          <w:ilvl w:val="0"/>
          <w:numId w:val="1011"/>
        </w:numPr>
      </w:pPr>
      <w:r>
        <w:t xml:space="preserve">Free-cash-flow outlook reduced</w:t>
      </w:r>
    </w:p>
    <w:p>
      <w:pPr>
        <w:pStyle w:val="Compact"/>
        <w:numPr>
          <w:ilvl w:val="0"/>
          <w:numId w:val="1011"/>
        </w:numPr>
      </w:pPr>
      <w:r>
        <w:t xml:space="preserve">Management flags procurement, supply or international timing problems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valuation-and-expectations"/>
    <w:p>
      <w:pPr>
        <w:pStyle w:val="Heading2"/>
      </w:pPr>
      <w:r>
        <w:t xml:space="preserve">Valuation and expectations</w:t>
      </w:r>
    </w:p>
    <w:p>
      <w:pPr>
        <w:pStyle w:val="FirstParagraph"/>
      </w:pPr>
      <w:r>
        <w:t xml:space="preserve">At the August 4 close, AXON’s implied enterprise value is roughly</w:t>
      </w:r>
      <w:r>
        <w:t xml:space="preserve"> </w:t>
      </w:r>
      <w:r>
        <w:rPr>
          <w:b/>
          <w:bCs/>
        </w:rPr>
        <w:t xml:space="preserve">$51 billion</w:t>
      </w:r>
      <w:r>
        <w:t xml:space="preserve">, using Q1 net debt and diluted shares. That is around</w:t>
      </w:r>
      <w:r>
        <w:t xml:space="preserve"> </w:t>
      </w:r>
      <w:r>
        <w:rPr>
          <w:b/>
          <w:bCs/>
        </w:rPr>
        <w:t xml:space="preserve">14 times the midpoint of current 2026 revenue guidance</w:t>
      </w:r>
      <w:r>
        <w:t xml:space="preserve">.</w:t>
      </w:r>
    </w:p>
    <w:p>
      <w:pPr>
        <w:pStyle w:val="BodyText"/>
      </w:pPr>
      <w:r>
        <w:t xml:space="preserve">The valuation reflects more than one strong year. Axon is targeting approximately</w:t>
      </w:r>
      <w:r>
        <w:t xml:space="preserve"> </w:t>
      </w:r>
      <w:r>
        <w:rPr>
          <w:b/>
          <w:bCs/>
        </w:rPr>
        <w:t xml:space="preserve">$6 billion of revenue and a 28% adjusted EBITDA margin in 2028</w:t>
      </w:r>
      <w:r>
        <w:t xml:space="preserve">. Reaching that target from the midpoint of 2026 guidance requires roughly</w:t>
      </w:r>
      <w:r>
        <w:t xml:space="preserve"> </w:t>
      </w:r>
      <w:r>
        <w:rPr>
          <w:b/>
          <w:bCs/>
        </w:rPr>
        <w:t xml:space="preserve">28% annual revenue growth in both 2027 and 2028</w:t>
      </w:r>
      <w:r>
        <w:t xml:space="preserve">.</w:t>
      </w:r>
    </w:p>
    <w:p>
      <w:pPr>
        <w:pStyle w:val="BodyText"/>
      </w:pPr>
      <w:r>
        <w:t xml:space="preserve">That is an exceptional trajectory for a company already approaching $4 billion in annual sales. This quarter therefore needs to support not only 2026 estimates but the durability of growth through 2028.</w:t>
      </w:r>
    </w:p>
    <w:p>
      <w:pPr>
        <w:pStyle w:val="BodyText"/>
      </w:pPr>
      <w:r>
        <w:t xml:space="preserve">Stock-based compensation also remains relevant. Axon expects</w:t>
      </w:r>
      <w:r>
        <w:t xml:space="preserve"> </w:t>
      </w:r>
      <m:oMath>
        <m:r>
          <m:t>590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620 million of SBC in 2026 while targeting average annual dilution below 2.5%. Investors may accept high SBC while revenue compounds above 30%, but the debate will intensify if growth moderates without a corresponding improvement in GAAP profitability and cash conversion.</w:t>
      </w:r>
    </w:p>
    <w:p>
      <w:r>
        <w:pict>
          <v:rect style="width:0;height:1.5pt" o:hralign="center" o:hrstd="t" o:hr="t"/>
        </w:pict>
      </w:r>
    </w:p>
    <w:bookmarkEnd w:id="26"/>
    <w:bookmarkStart w:id="27" w:name="investor-checklist"/>
    <w:p>
      <w:pPr>
        <w:pStyle w:val="Heading2"/>
      </w:pPr>
      <w:r>
        <w:t xml:space="preserve">Investor checklist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Does growth remain at least 30%, and is the beat meaningful?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ARR:</w:t>
      </w:r>
      <w:r>
        <w:t xml:space="preserve"> </w:t>
      </w:r>
      <w:r>
        <w:t xml:space="preserve">Is growth still around 35% or better?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NRR:</w:t>
      </w:r>
      <w:r>
        <w:t xml:space="preserve"> </w:t>
      </w:r>
      <w:r>
        <w:t xml:space="preserve">Does it hold near 125%?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Bookings:</w:t>
      </w:r>
      <w:r>
        <w:t xml:space="preserve"> </w:t>
      </w:r>
      <w:r>
        <w:t xml:space="preserve">Are bookings growing at least in line with revenue?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AI:</w:t>
      </w:r>
      <w:r>
        <w:t xml:space="preserve"> </w:t>
      </w:r>
      <w:r>
        <w:t xml:space="preserve">Are bookings, attach rates and recognized revenue still accelerating?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Dedrone:</w:t>
      </w:r>
      <w:r>
        <w:t xml:space="preserve"> </w:t>
      </w:r>
      <w:r>
        <w:t xml:space="preserve">Is demand durable, and is supply catching up?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International:</w:t>
      </w:r>
      <w:r>
        <w:t xml:space="preserve"> </w:t>
      </w:r>
      <w:r>
        <w:t xml:space="preserve">Does it remain near 20% of revenue?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Gross margin:</w:t>
      </w:r>
      <w:r>
        <w:t xml:space="preserve"> </w:t>
      </w:r>
      <w:r>
        <w:t xml:space="preserve">Is hardware pressure being offset by software mix and scale?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Adjusted EBITDA:</w:t>
      </w:r>
      <w:r>
        <w:t xml:space="preserve"> </w:t>
      </w:r>
      <w:r>
        <w:t xml:space="preserve">Is the 25.5% annual target intact?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Cash flow:</w:t>
      </w:r>
      <w:r>
        <w:t xml:space="preserve"> </w:t>
      </w:r>
      <w:r>
        <w:t xml:space="preserve">Is the approximately $450 million FCF outlook reaffirmed?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Guidance:</w:t>
      </w:r>
      <w:r>
        <w:t xml:space="preserve"> </w:t>
      </w:r>
      <w:r>
        <w:t xml:space="preserve">Does management raise the top line again?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2028 targets:</w:t>
      </w:r>
      <w:r>
        <w:t xml:space="preserve"> </w:t>
      </w:r>
      <w:r>
        <w:t xml:space="preserve">Does management sound more—or less—confident in $6 billion of revenue?</w:t>
      </w:r>
    </w:p>
    <w:bookmarkEnd w:id="27"/>
    <w:bookmarkStart w:id="2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Axon’s fundamentals going into Q2 appear strong: core TASER and body-camera demand remains healthy, software expansion is supporting 125% NRR, AI adoption is accelerating, and Dedrone has emerged as a potentially significant new growth engine.</w:t>
      </w:r>
    </w:p>
    <w:p>
      <w:pPr>
        <w:pStyle w:val="BodyText"/>
      </w:pPr>
      <w:r>
        <w:t xml:space="preserve">But the stock now demands a correspondingly strong report. With consensus already calling for approximately 31% revenue growth and shares up sharply since Q1, the likely hurdle is a</w:t>
      </w:r>
      <w:r>
        <w:t xml:space="preserve"> </w:t>
      </w:r>
      <w:r>
        <w:rPr>
          <w:b/>
          <w:bCs/>
        </w:rPr>
        <w:t xml:space="preserve">beat-and-raise accompanied by stable margins and convincing cash-flow commentary</w:t>
      </w:r>
      <w:r>
        <w:t xml:space="preserve">.</w:t>
      </w:r>
    </w:p>
    <w:p>
      <w:pPr>
        <w:pStyle w:val="BodyText"/>
      </w:pPr>
      <w:r>
        <w:t xml:space="preserve">The highest-quality result would show that AI and counter-drone growth are not isolated bursts: they are increasing recurring revenue, expanding bookings, opening international and enterprise accounts, and doing so without undermining Axon’s 25.5% profitability framework.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investor.axon.com/2026-07-22-Axon-to-Release-Second-Quarter-2026-Earnings-on-August-5%2C-2026" TargetMode="External" /><Relationship Type="http://schemas.openxmlformats.org/officeDocument/2006/relationships/hyperlink" Id="rId12" Target="https://www.investing.com/news/stock-market-news/axon-enterprise-earnings-outlook-bull-case-bear-case-and-key-numbers-93CH-4816903" TargetMode="External" /><Relationship Type="http://schemas.openxmlformats.org/officeDocument/2006/relationships/hyperlink" Id="rId10" Target="https://www.sec.gov/Archives/edgar/data/1069183/000162828026031285/axon-20260506xex991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investor.axon.com/2026-07-22-Axon-to-Release-Second-Quarter-2026-Earnings-on-August-5%2C-2026" TargetMode="External" /><Relationship Type="http://schemas.openxmlformats.org/officeDocument/2006/relationships/hyperlink" Id="rId12" Target="https://www.investing.com/news/stock-market-news/axon-enterprise-earnings-outlook-bull-case-bear-case-and-key-numbers-93CH-4816903" TargetMode="External" /><Relationship Type="http://schemas.openxmlformats.org/officeDocument/2006/relationships/hyperlink" Id="rId10" Target="https://www.sec.gov/Archives/edgar/data/1069183/000162828026031285/axon-20260506xex991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2026-08-05T01:01:57Z</dcterms:created>
  <dcterms:modified xsi:type="dcterms:W3CDTF">2026-08-05T01:01:57Z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