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c10b5957384ecea5eb3247e674f93e504ec853"/>
    <w:p>
      <w:pPr>
        <w:pStyle w:val="Heading1"/>
      </w:pPr>
      <w:r>
        <w:t xml:space="preserve">Axon Enterprise (NASDAQ: AXON) — Q2 2026 Earnings Preview</w:t>
      </w:r>
    </w:p>
    <w:p>
      <w:pPr>
        <w:pStyle w:val="BlockText"/>
      </w:pPr>
      <w:r>
        <w:rPr>
          <w:b/>
          <w:bCs/>
        </w:rPr>
        <w:t xml:space="preserve">Timing correction:</w:t>
      </w:r>
      <w:r>
        <w:t xml:space="preserve"> </w:t>
      </w:r>
      <w:r>
        <w:t xml:space="preserve">Axon is scheduled to report</w:t>
      </w:r>
      <w:r>
        <w:t xml:space="preserve"> </w:t>
      </w:r>
      <w:r>
        <w:rPr>
          <w:b/>
          <w:bCs/>
        </w:rPr>
        <w:t xml:space="preserve">after the market close today, Wednesday, August 5, 2026</w:t>
      </w:r>
      <w:r>
        <w:t xml:space="preserve">, with its earnings call at</w:t>
      </w:r>
      <w:r>
        <w:t xml:space="preserve"> </w:t>
      </w:r>
      <w:r>
        <w:rPr>
          <w:b/>
          <w:bCs/>
        </w:rPr>
        <w:t xml:space="preserve">5:00 p.m. ET</w:t>
      </w:r>
      <w:r>
        <w:t xml:space="preserve">—not tomorrow.</w:t>
      </w:r>
    </w:p>
    <w:bookmarkStart w:id="9" w:name="Xe42af44b22eb8e5a5b7ef506a1caf8c8ad93119"/>
    <w:p>
      <w:pPr>
        <w:pStyle w:val="Heading2"/>
      </w:pPr>
      <w:r>
        <w:t xml:space="preserve">Investment view: the bar is high, and the debate is shifting from growth durability to upside magnitude</w:t>
      </w:r>
    </w:p>
    <w:p>
      <w:pPr>
        <w:pStyle w:val="FirstParagraph"/>
      </w:pPr>
      <w:r>
        <w:t xml:space="preserve">Axon enters Q2 with exceptional operating momentum. In Q1, revenue grew</w:t>
      </w:r>
      <w:r>
        <w:t xml:space="preserve"> </w:t>
      </w:r>
      <w:r>
        <w:rPr>
          <w:b/>
          <w:bCs/>
        </w:rPr>
        <w:t xml:space="preserve">34% year over year</w:t>
      </w:r>
      <w:r>
        <w:t xml:space="preserve"> </w:t>
      </w:r>
      <w:r>
        <w:t xml:space="preserve">to</w:t>
      </w:r>
      <w:r>
        <w:t xml:space="preserve"> </w:t>
      </w:r>
      <w:r>
        <w:rPr>
          <w:b/>
          <w:bCs/>
        </w:rPr>
        <w:t xml:space="preserve">$807 million</w:t>
      </w:r>
      <w:r>
        <w:t xml:space="preserve">, its ninth consecutive quarter above 30% growth, prompting management to raise 2026 revenue-growth guidance to</w:t>
      </w:r>
      <w:r>
        <w:t xml:space="preserve"> </w:t>
      </w:r>
      <w:r>
        <w:rPr>
          <w:b/>
          <w:bCs/>
        </w:rPr>
        <w:t xml:space="preserve">30%–32%</w:t>
      </w:r>
      <w:r>
        <w:t xml:space="preserve"> </w:t>
      </w:r>
      <w:r>
        <w:t xml:space="preserve">from 27%–30%. The fundamental setup remains strong: cloud/AI adoption is accelerating, Dedrone is scaling materially faster than initial expectations, international demand is broadening, and the company continues to add new enterprise and 911-market vectors.</w:t>
      </w:r>
    </w:p>
    <w:p>
      <w:pPr>
        <w:pStyle w:val="BodyText"/>
      </w:pPr>
      <w:r>
        <w:t xml:space="preserve">The issue into earnings is less whether Axon can post strong growth and more whether results and forward commentary can</w:t>
      </w:r>
      <w:r>
        <w:t xml:space="preserve"> </w:t>
      </w:r>
      <w:r>
        <w:rPr>
          <w:b/>
          <w:bCs/>
        </w:rPr>
        <w:t xml:space="preserve">clear an elevated investor bar</w:t>
      </w:r>
      <w:r>
        <w:t xml:space="preserve">. AXON closed at</w:t>
      </w:r>
      <w:r>
        <w:t xml:space="preserve"> </w:t>
      </w:r>
      <w:r>
        <w:rPr>
          <w:b/>
          <w:bCs/>
        </w:rPr>
        <w:t xml:space="preserve">$607.24 on August 4</w:t>
      </w:r>
      <w:r>
        <w:t xml:space="preserve">, up roughly</w:t>
      </w:r>
      <w:r>
        <w:t xml:space="preserve"> </w:t>
      </w:r>
      <w:r>
        <w:rPr>
          <w:b/>
          <w:bCs/>
        </w:rPr>
        <w:t xml:space="preserve">57%</w:t>
      </w:r>
      <w:r>
        <w:t xml:space="preserve"> </w:t>
      </w:r>
      <w:r>
        <w:t xml:space="preserve">since the May 6 Q1 release and about</w:t>
      </w:r>
      <w:r>
        <w:t xml:space="preserve"> </w:t>
      </w:r>
      <w:r>
        <w:rPr>
          <w:b/>
          <w:bCs/>
        </w:rPr>
        <w:t xml:space="preserve">15%</w:t>
      </w:r>
      <w:r>
        <w:t xml:space="preserve"> </w:t>
      </w:r>
      <w:r>
        <w:t xml:space="preserve">since the July 31 close. That positioning makes the guide, bookings indicators, margin trajectory, and management’s commentary on AI and counter-drone demand at least as important as the headline revenue/EPS result.</w:t>
      </w:r>
    </w:p>
    <w:bookmarkEnd w:id="9"/>
    <w:bookmarkStart w:id="15" w:name="what-matters-most-in-q2"/>
    <w:p>
      <w:pPr>
        <w:pStyle w:val="Heading2"/>
      </w:pPr>
      <w:r>
        <w:t xml:space="preserve">What matters most in Q2</w:t>
      </w:r>
    </w:p>
    <w:bookmarkStart w:id="10" w:name="X4aec4c188833cbc31b4c1f4564b37f6c3366080"/>
    <w:p>
      <w:pPr>
        <w:pStyle w:val="Heading3"/>
      </w:pPr>
      <w:r>
        <w:t xml:space="preserve">1. Can Axon sustain or exceed 30%-plus growth?</w:t>
      </w:r>
    </w:p>
    <w:p>
      <w:pPr>
        <w:pStyle w:val="FirstParagraph"/>
      </w:pPr>
      <w:r>
        <w:t xml:space="preserve">Q2 2025 revenue was</w:t>
      </w:r>
      <w:r>
        <w:t xml:space="preserve"> </w:t>
      </w:r>
      <m:oMath>
        <m:r>
          <m:t>669</m:t>
        </m:r>
        <m:r>
          <m:t>m</m:t>
        </m:r>
        <m:r>
          <m:t>i</m:t>
        </m:r>
        <m:r>
          <m:t>l</m:t>
        </m:r>
        <m:r>
          <m:t>l</m:t>
        </m:r>
        <m:r>
          <m:t>i</m:t>
        </m:r>
        <m:r>
          <m:t>o</m:t>
        </m:r>
        <m:r>
          <m:t>n</m:t>
        </m:r>
        <m:r>
          <m:rPr>
            <m:sty m:val="p"/>
          </m:rPr>
          <m:t>*</m:t>
        </m:r>
        <m:r>
          <m:rPr>
            <m:sty m:val="p"/>
          </m:rPr>
          <m:t>*</m:t>
        </m:r>
        <m:r>
          <m:rPr>
            <m:sty m:val="p"/>
          </m:rPr>
          <m:t>,</m:t>
        </m:r>
        <m:r>
          <m:t>u</m:t>
        </m:r>
        <m:r>
          <m:t>p</m:t>
        </m:r>
        <m:r>
          <m:t>33</m:t>
        </m:r>
      </m:oMath>
      <w:r>
        <w:rPr>
          <w:b/>
          <w:bCs/>
        </w:rPr>
        <w:t xml:space="preserve">869 million–$882 million</w:t>
      </w:r>
      <w:r>
        <w:t xml:space="preserve">—though seasonality, the revenue-recognition cadence of large contracts, and hardware shipment timing can create meaningful variation.</w:t>
      </w:r>
    </w:p>
    <w:p>
      <w:pPr>
        <w:pStyle w:val="BodyText"/>
      </w:pPr>
      <w:r>
        <w:t xml:space="preserve">The core setup is favorable:</w:t>
      </w:r>
    </w:p>
    <w:p>
      <w:pPr>
        <w:pStyle w:val="Compact"/>
        <w:numPr>
          <w:ilvl w:val="0"/>
          <w:numId w:val="1001"/>
        </w:numPr>
      </w:pPr>
      <w:r>
        <w:rPr>
          <w:b/>
          <w:bCs/>
        </w:rPr>
        <w:t xml:space="preserve">Software &amp; Services:</w:t>
      </w:r>
      <w:r>
        <w:t xml:space="preserve"> </w:t>
      </w:r>
      <w:r>
        <w:t xml:space="preserve">Q1 revenue rose</w:t>
      </w:r>
      <w:r>
        <w:t xml:space="preserve"> </w:t>
      </w:r>
      <w:r>
        <w:rPr>
          <w:b/>
          <w:bCs/>
        </w:rPr>
        <w:t xml:space="preserve">35%</w:t>
      </w:r>
      <w:r>
        <w:t xml:space="preserve"> </w:t>
      </w:r>
      <w:r>
        <w:t xml:space="preserve">to</w:t>
      </w:r>
      <w:r>
        <w:t xml:space="preserve"> </w:t>
      </w:r>
      <m:oMath>
        <m:r>
          <m:t>355</m:t>
        </m:r>
        <m:r>
          <m:t>m</m:t>
        </m:r>
        <m:r>
          <m:t>i</m:t>
        </m:r>
        <m:r>
          <m:t>l</m:t>
        </m:r>
        <m:r>
          <m:t>l</m:t>
        </m:r>
        <m:r>
          <m:t>i</m:t>
        </m:r>
        <m:r>
          <m:t>o</m:t>
        </m:r>
        <m:r>
          <m:t>n</m:t>
        </m:r>
        <m:r>
          <m:rPr>
            <m:sty m:val="p"/>
          </m:rPr>
          <m:t>*</m:t>
        </m:r>
        <m:r>
          <m:rPr>
            <m:sty m:val="p"/>
          </m:rPr>
          <m:t>*</m:t>
        </m:r>
        <m:r>
          <m:rPr>
            <m:sty m:val="p"/>
          </m:rPr>
          <m:t>.</m:t>
        </m:r>
        <m:r>
          <m:t>A</m:t>
        </m:r>
        <m:r>
          <m:t>R</m:t>
        </m:r>
        <m:r>
          <m:t>R</m:t>
        </m:r>
        <m:r>
          <m:t>i</m:t>
        </m:r>
        <m:r>
          <m:t>n</m:t>
        </m:r>
        <m:r>
          <m:t>c</m:t>
        </m:r>
        <m:r>
          <m:t>r</m:t>
        </m:r>
        <m:r>
          <m:t>e</m:t>
        </m:r>
        <m:r>
          <m:t>a</m:t>
        </m:r>
        <m:r>
          <m:t>s</m:t>
        </m:r>
        <m:r>
          <m:t>e</m:t>
        </m:r>
        <m:r>
          <m:t>d</m:t>
        </m:r>
        <m:r>
          <m:t>35</m:t>
        </m:r>
      </m:oMath>
      <w:r>
        <w:rPr>
          <w:b/>
          <w:bCs/>
        </w:rPr>
        <w:t xml:space="preserve">1.49 billion</w:t>
      </w:r>
      <w:r>
        <w:t xml:space="preserve">, while net revenue retention held at</w:t>
      </w:r>
      <w:r>
        <w:t xml:space="preserve"> </w:t>
      </w:r>
      <w:r>
        <w:rPr>
          <w:b/>
          <w:bCs/>
        </w:rPr>
        <w:t xml:space="preserve">125%</w:t>
      </w:r>
      <w:r>
        <w:t xml:space="preserve">.</w:t>
      </w:r>
    </w:p>
    <w:p>
      <w:pPr>
        <w:pStyle w:val="Compact"/>
        <w:numPr>
          <w:ilvl w:val="0"/>
          <w:numId w:val="1001"/>
        </w:numPr>
      </w:pPr>
      <w:r>
        <w:rPr>
          <w:b/>
          <w:bCs/>
        </w:rPr>
        <w:t xml:space="preserve">Connected Devices:</w:t>
      </w:r>
      <w:r>
        <w:t xml:space="preserve"> </w:t>
      </w:r>
      <w:r>
        <w:t xml:space="preserve">Q1 revenue grew</w:t>
      </w:r>
      <w:r>
        <w:t xml:space="preserve"> </w:t>
      </w:r>
      <w:r>
        <w:rPr>
          <w:b/>
          <w:bCs/>
        </w:rPr>
        <w:t xml:space="preserve">33%</w:t>
      </w:r>
      <w:r>
        <w:t xml:space="preserve"> </w:t>
      </w:r>
      <w:r>
        <w:t xml:space="preserve">to</w:t>
      </w:r>
      <w:r>
        <w:t xml:space="preserve"> </w:t>
      </w:r>
      <w:r>
        <w:rPr>
          <w:b/>
          <w:bCs/>
        </w:rPr>
        <w:t xml:space="preserve">$453 million</w:t>
      </w:r>
      <w:r>
        <w:t xml:space="preserve">, led by TASER 10, Axon Body 4, and Platform Solutions.</w:t>
      </w:r>
    </w:p>
    <w:p>
      <w:pPr>
        <w:pStyle w:val="Compact"/>
        <w:numPr>
          <w:ilvl w:val="0"/>
          <w:numId w:val="1001"/>
        </w:numPr>
      </w:pPr>
      <w:r>
        <w:rPr>
          <w:b/>
          <w:bCs/>
        </w:rPr>
        <w:t xml:space="preserve">International:</w:t>
      </w:r>
      <w:r>
        <w:t xml:space="preserve"> </w:t>
      </w:r>
      <w:r>
        <w:t xml:space="preserve">Q1 international revenue more than doubled year over year and represented</w:t>
      </w:r>
      <w:r>
        <w:t xml:space="preserve"> </w:t>
      </w:r>
      <w:r>
        <w:rPr>
          <w:b/>
          <w:bCs/>
        </w:rPr>
        <w:t xml:space="preserve">20%</w:t>
      </w:r>
      <w:r>
        <w:t xml:space="preserve"> </w:t>
      </w:r>
      <w:r>
        <w:t xml:space="preserve">of sales, versus 12% in Q1 2025.</w:t>
      </w:r>
    </w:p>
    <w:p>
      <w:pPr>
        <w:pStyle w:val="Compact"/>
        <w:numPr>
          <w:ilvl w:val="0"/>
          <w:numId w:val="1001"/>
        </w:numPr>
      </w:pPr>
      <w:r>
        <w:rPr>
          <w:b/>
          <w:bCs/>
        </w:rPr>
        <w:t xml:space="preserve">Platform Solutions / Dedrone:</w:t>
      </w:r>
      <w:r>
        <w:t xml:space="preserve"> </w:t>
      </w:r>
      <w:r>
        <w:t xml:space="preserve">Platform Solutions increased</w:t>
      </w:r>
      <w:r>
        <w:t xml:space="preserve"> </w:t>
      </w:r>
      <w:r>
        <w:rPr>
          <w:b/>
          <w:bCs/>
        </w:rPr>
        <w:t xml:space="preserve">95%</w:t>
      </w:r>
      <w:r>
        <w:t xml:space="preserve"> </w:t>
      </w:r>
      <w:r>
        <w:t xml:space="preserve">in Q1, with Dedrone revenue up more than</w:t>
      </w:r>
      <w:r>
        <w:t xml:space="preserve"> </w:t>
      </w:r>
      <w:r>
        <w:rPr>
          <w:b/>
          <w:bCs/>
        </w:rPr>
        <w:t xml:space="preserve">300%</w:t>
      </w:r>
      <w:r>
        <w:t xml:space="preserve"> </w:t>
      </w:r>
      <w:r>
        <w:t xml:space="preserve">year over year.</w:t>
      </w:r>
    </w:p>
    <w:p>
      <w:pPr>
        <w:pStyle w:val="FirstParagraph"/>
      </w:pPr>
      <w:r>
        <w:rPr>
          <w:b/>
          <w:bCs/>
        </w:rPr>
        <w:t xml:space="preserve">Investor focus:</w:t>
      </w:r>
      <w:r>
        <w:t xml:space="preserve"> </w:t>
      </w:r>
      <w:r>
        <w:t xml:space="preserve">A result around the guide-implied range may not be sufficient if it comes with deceleration in ARR, net retention, bookings, or the fastest-growing newer categories. Conversely, another material beat with a guide raise would reinforce the argument that Axon’s growth runway is broadening rather than maturing.</w:t>
      </w:r>
    </w:p>
    <w:bookmarkEnd w:id="10"/>
    <w:bookmarkStart w:id="11" w:name="X4c56cc9da0bdc4a1cf800f509828350f00012ad"/>
    <w:p>
      <w:pPr>
        <w:pStyle w:val="Heading3"/>
      </w:pPr>
      <w:r>
        <w:t xml:space="preserve">2. AI monetization: bookings conversion and the durability of the AI Era Plan</w:t>
      </w:r>
    </w:p>
    <w:p>
      <w:pPr>
        <w:pStyle w:val="FirstParagraph"/>
      </w:pPr>
      <w:r>
        <w:t xml:space="preserve">AI is now central to the Axon thesis. Management said in Q1 that:</w:t>
      </w:r>
    </w:p>
    <w:p>
      <w:pPr>
        <w:pStyle w:val="Compact"/>
        <w:numPr>
          <w:ilvl w:val="0"/>
          <w:numId w:val="1002"/>
        </w:numPr>
      </w:pPr>
      <w:r>
        <w:t xml:space="preserve">AI product revenue grew</w:t>
      </w:r>
      <w:r>
        <w:t xml:space="preserve"> </w:t>
      </w:r>
      <w:r>
        <w:rPr>
          <w:b/>
          <w:bCs/>
        </w:rPr>
        <w:t xml:space="preserve">more than 700%</w:t>
      </w:r>
      <w:r>
        <w:t xml:space="preserve"> </w:t>
      </w:r>
      <w:r>
        <w:t xml:space="preserve">year over year, albeit from a small base.</w:t>
      </w:r>
    </w:p>
    <w:p>
      <w:pPr>
        <w:pStyle w:val="Compact"/>
        <w:numPr>
          <w:ilvl w:val="0"/>
          <w:numId w:val="1002"/>
        </w:numPr>
      </w:pPr>
      <w:r>
        <w:t xml:space="preserve">AI bookings rose</w:t>
      </w:r>
      <w:r>
        <w:t xml:space="preserve"> </w:t>
      </w:r>
      <w:r>
        <w:rPr>
          <w:b/>
          <w:bCs/>
        </w:rPr>
        <w:t xml:space="preserve">140%</w:t>
      </w:r>
      <w:r>
        <w:t xml:space="preserve"> </w:t>
      </w:r>
      <w:r>
        <w:t xml:space="preserve">year over year.</w:t>
      </w:r>
    </w:p>
    <w:p>
      <w:pPr>
        <w:pStyle w:val="Compact"/>
        <w:numPr>
          <w:ilvl w:val="0"/>
          <w:numId w:val="1002"/>
        </w:numPr>
      </w:pPr>
      <w:r>
        <w:t xml:space="preserve">Nearly all large domestic law-enforcement agencies are now including AI in purchasing discussions.</w:t>
      </w:r>
    </w:p>
    <w:p>
      <w:pPr>
        <w:pStyle w:val="Compact"/>
        <w:numPr>
          <w:ilvl w:val="0"/>
          <w:numId w:val="1002"/>
        </w:numPr>
      </w:pPr>
      <w:r>
        <w:t xml:space="preserve">A large Mid-Atlantic city had approved a</w:t>
      </w:r>
      <w:r>
        <w:t xml:space="preserve"> </w:t>
      </w:r>
      <w:r>
        <w:rPr>
          <w:b/>
          <w:bCs/>
        </w:rPr>
        <w:t xml:space="preserve">$150 million</w:t>
      </w:r>
      <w:r>
        <w:t xml:space="preserve"> </w:t>
      </w:r>
      <w:r>
        <w:t xml:space="preserve">deal that included the AI Era Plan.</w:t>
      </w:r>
    </w:p>
    <w:p>
      <w:pPr>
        <w:pStyle w:val="FirstParagraph"/>
      </w:pPr>
      <w:r>
        <w:t xml:space="preserve">The key question is whether the AI Era Plan is continuing to convert from initial contracts and bookings into recurring revenue at the pace implied by Q1 ARR growth. Investors should look for evidence that new capabilities—such as Draft One, Axon Assistant, Axon Vision, Guardian, Form One, Brief One, and Justice tools—are increasing bundle adoption, customer spend, and contract rewrites.</w:t>
      </w:r>
    </w:p>
    <w:p>
      <w:pPr>
        <w:pStyle w:val="BodyText"/>
      </w:pPr>
      <w:r>
        <w:rPr>
          <w:b/>
          <w:bCs/>
        </w:rPr>
        <w:t xml:space="preserve">What would be constructive:</w:t>
      </w:r>
      <w:r>
        <w:t xml:space="preserve"> </w:t>
      </w:r>
      <w:r>
        <w:t xml:space="preserve">ARR acceleration, NRR remaining near or above 125%, commentary that AI is expanding beyond early adopters, and confirmation that new AI features support future price increases or contract upgrades.</w:t>
      </w:r>
    </w:p>
    <w:p>
      <w:pPr>
        <w:pStyle w:val="BodyText"/>
      </w:pPr>
      <w:r>
        <w:rPr>
          <w:b/>
          <w:bCs/>
        </w:rPr>
        <w:t xml:space="preserve">Risk:</w:t>
      </w:r>
      <w:r>
        <w:t xml:space="preserve"> </w:t>
      </w:r>
      <w:r>
        <w:t xml:space="preserve">AI revenue may remain small relative to the attention it receives, while deployment and professional-services requirements could pressure software-and-services margins in the near term.</w:t>
      </w:r>
    </w:p>
    <w:bookmarkEnd w:id="11"/>
    <w:bookmarkStart w:id="12" w:name="X1cf80c5b11ff070762ad8da930696037604afde"/>
    <w:p>
      <w:pPr>
        <w:pStyle w:val="Heading3"/>
      </w:pPr>
      <w:r>
        <w:t xml:space="preserve">3. Dedrone: exceptional demand, but also the primary gross-margin watch item</w:t>
      </w:r>
    </w:p>
    <w:p>
      <w:pPr>
        <w:pStyle w:val="FirstParagraph"/>
      </w:pPr>
      <w:r>
        <w:t xml:space="preserve">Dedrone and counter-drone products are the most visible new hardware growth driver. In Q1, management described bookings growth of</w:t>
      </w:r>
      <w:r>
        <w:t xml:space="preserve"> </w:t>
      </w:r>
      <w:r>
        <w:rPr>
          <w:b/>
          <w:bCs/>
        </w:rPr>
        <w:t xml:space="preserve">more than 500%</w:t>
      </w:r>
      <w:r>
        <w:t xml:space="preserve"> </w:t>
      </w:r>
      <w:r>
        <w:t xml:space="preserve">year over year and said demand exceeded its ability to deliver product. The business is benefiting from growing concern around critical infrastructure, data centers, enterprises, large public events, federal customers, and international markets.</w:t>
      </w:r>
    </w:p>
    <w:p>
      <w:pPr>
        <w:pStyle w:val="BodyText"/>
      </w:pPr>
      <w:r>
        <w:t xml:space="preserve">The Q2 call should clarify whether this demand has remained broad-based after a very strong Q1—and whether supply has kept pace.</w:t>
      </w:r>
    </w:p>
    <w:p>
      <w:pPr>
        <w:pStyle w:val="BodyText"/>
      </w:pPr>
      <w:r>
        <w:t xml:space="preserve">However, Dedrone is also dilutive to hardware margin at its current scale. Platform Solutions is Axon’s lower-margin connected-device category, and Q1 connected-devices gross margin declined</w:t>
      </w:r>
      <w:r>
        <w:t xml:space="preserve"> </w:t>
      </w:r>
      <w:r>
        <w:rPr>
          <w:b/>
          <w:bCs/>
        </w:rPr>
        <w:t xml:space="preserve">140 basis points year over year</w:t>
      </w:r>
      <w:r>
        <w:t xml:space="preserve"> </w:t>
      </w:r>
      <w:r>
        <w:t xml:space="preserve">to</w:t>
      </w:r>
      <w:r>
        <w:t xml:space="preserve"> </w:t>
      </w:r>
      <w:r>
        <w:rPr>
          <w:b/>
          <w:bCs/>
        </w:rPr>
        <w:t xml:space="preserve">48.7%</w:t>
      </w:r>
      <w:r>
        <w:t xml:space="preserve">, reflecting tariffs and higher Dedrone mix.</w:t>
      </w:r>
    </w:p>
    <w:p>
      <w:pPr>
        <w:pStyle w:val="BodyText"/>
      </w:pPr>
      <w:r>
        <w:rPr>
          <w:b/>
          <w:bCs/>
        </w:rPr>
        <w:t xml:space="preserve">Questions for management</w:t>
      </w:r>
    </w:p>
    <w:p>
      <w:pPr>
        <w:pStyle w:val="Compact"/>
        <w:numPr>
          <w:ilvl w:val="0"/>
          <w:numId w:val="1003"/>
        </w:numPr>
      </w:pPr>
      <w:r>
        <w:t xml:space="preserve">Is counter-drone demand still supply constrained?</w:t>
      </w:r>
    </w:p>
    <w:p>
      <w:pPr>
        <w:pStyle w:val="Compact"/>
        <w:numPr>
          <w:ilvl w:val="0"/>
          <w:numId w:val="1003"/>
        </w:numPr>
      </w:pPr>
      <w:r>
        <w:t xml:space="preserve">How much Q2 growth came from counter-drone versus the core TASER/body-camera franchise?</w:t>
      </w:r>
    </w:p>
    <w:p>
      <w:pPr>
        <w:pStyle w:val="Compact"/>
        <w:numPr>
          <w:ilvl w:val="0"/>
          <w:numId w:val="1003"/>
        </w:numPr>
      </w:pPr>
      <w:r>
        <w:t xml:space="preserve">Are event deployments converting into permanent city, federal, or enterprise infrastructure contracts?</w:t>
      </w:r>
    </w:p>
    <w:p>
      <w:pPr>
        <w:pStyle w:val="Compact"/>
        <w:numPr>
          <w:ilvl w:val="0"/>
          <w:numId w:val="1003"/>
        </w:numPr>
      </w:pPr>
      <w:r>
        <w:t xml:space="preserve">What is the medium-term gross-margin opportunity as the business scales and software attach increases?</w:t>
      </w:r>
    </w:p>
    <w:p>
      <w:pPr>
        <w:pStyle w:val="FirstParagraph"/>
      </w:pPr>
      <w:r>
        <w:t xml:space="preserve">The bull case is that Dedrone is not merely an event-driven product cycle, but a durable platform opening doors across Axon’s state/local, federal, international, and enterprise markets.</w:t>
      </w:r>
    </w:p>
    <w:bookmarkEnd w:id="12"/>
    <w:bookmarkStart w:id="13" w:name="Xbd85d8643cefa4ee60e1483a134f42950f6cc5e"/>
    <w:p>
      <w:pPr>
        <w:pStyle w:val="Heading3"/>
      </w:pPr>
      <w:r>
        <w:t xml:space="preserve">4. Gross margin and EBITDA: can Axon achieve 25.5% for the year?</w:t>
      </w:r>
    </w:p>
    <w:p>
      <w:pPr>
        <w:pStyle w:val="FirstParagraph"/>
      </w:pPr>
      <w:r>
        <w:t xml:space="preserve">Management maintained its</w:t>
      </w:r>
      <w:r>
        <w:t xml:space="preserve"> </w:t>
      </w:r>
      <w:r>
        <w:rPr>
          <w:b/>
          <w:bCs/>
        </w:rPr>
        <w:t xml:space="preserve">25.5% adjusted EBITDA margin</w:t>
      </w:r>
      <w:r>
        <w:t xml:space="preserve"> </w:t>
      </w:r>
      <w:r>
        <w:t xml:space="preserve">target for 2026 after posting</w:t>
      </w:r>
      <w:r>
        <w:t xml:space="preserve"> </w:t>
      </w:r>
      <w:r>
        <w:rPr>
          <w:b/>
          <w:bCs/>
        </w:rPr>
        <w:t xml:space="preserve">25.0%</w:t>
      </w:r>
      <w:r>
        <w:t xml:space="preserve"> </w:t>
      </w:r>
      <w:r>
        <w:t xml:space="preserve">in Q1. It expects operating leverage in the second half to offset:</w:t>
      </w:r>
    </w:p>
    <w:p>
      <w:pPr>
        <w:pStyle w:val="Compact"/>
        <w:numPr>
          <w:ilvl w:val="0"/>
          <w:numId w:val="1004"/>
        </w:numPr>
      </w:pPr>
      <w:r>
        <w:t xml:space="preserve">Tariffs and component-cost inflation;</w:t>
      </w:r>
    </w:p>
    <w:p>
      <w:pPr>
        <w:pStyle w:val="Compact"/>
        <w:numPr>
          <w:ilvl w:val="0"/>
          <w:numId w:val="1004"/>
        </w:numPr>
      </w:pPr>
      <w:r>
        <w:t xml:space="preserve">Memory-cost exposure in cameras;</w:t>
      </w:r>
    </w:p>
    <w:p>
      <w:pPr>
        <w:pStyle w:val="Compact"/>
        <w:numPr>
          <w:ilvl w:val="0"/>
          <w:numId w:val="1004"/>
        </w:numPr>
      </w:pPr>
      <w:r>
        <w:t xml:space="preserve">A mix shift toward lower-margin Platform Solutions and Dedrone;</w:t>
      </w:r>
    </w:p>
    <w:p>
      <w:pPr>
        <w:pStyle w:val="Compact"/>
        <w:numPr>
          <w:ilvl w:val="0"/>
          <w:numId w:val="1004"/>
        </w:numPr>
      </w:pPr>
      <w:r>
        <w:t xml:space="preserve">Professional-services costs associated with deployments;</w:t>
      </w:r>
    </w:p>
    <w:p>
      <w:pPr>
        <w:pStyle w:val="Compact"/>
        <w:numPr>
          <w:ilvl w:val="0"/>
          <w:numId w:val="1004"/>
        </w:numPr>
      </w:pPr>
      <w:r>
        <w:t xml:space="preserve">Continued heavy R&amp;D investment.</w:t>
      </w:r>
    </w:p>
    <w:p>
      <w:pPr>
        <w:pStyle w:val="FirstParagraph"/>
      </w:pPr>
      <w:r>
        <w:t xml:space="preserve">Q1 adjusted gross margin was</w:t>
      </w:r>
      <w:r>
        <w:t xml:space="preserve"> </w:t>
      </w:r>
      <w:r>
        <w:rPr>
          <w:b/>
          <w:bCs/>
        </w:rPr>
        <w:t xml:space="preserve">61.6%</w:t>
      </w:r>
      <w:r>
        <w:t xml:space="preserve">, down 200 basis points year over year, while software-and-services adjusted gross margin fell 190 basis points to</w:t>
      </w:r>
      <w:r>
        <w:t xml:space="preserve"> </w:t>
      </w:r>
      <w:r>
        <w:rPr>
          <w:b/>
          <w:bCs/>
        </w:rPr>
        <w:t xml:space="preserve">75.8%</w:t>
      </w:r>
      <w:r>
        <w:t xml:space="preserve">. The software-only gross margin remained above 80%, an encouraging indicator that the underlying SaaS economics remain attractive.</w:t>
      </w:r>
    </w:p>
    <w:p>
      <w:pPr>
        <w:pStyle w:val="BodyText"/>
      </w:pPr>
      <w:r>
        <w:rPr>
          <w:b/>
          <w:bCs/>
        </w:rPr>
        <w:t xml:space="preserve">Takeaway:</w:t>
      </w:r>
      <w:r>
        <w:t xml:space="preserve"> </w:t>
      </w:r>
      <w:r>
        <w:t xml:space="preserve">Q2 need not show immediate margin expansion, but investors will want confidence that mix pressure is transitory or manageable and that second-half operating leverage remains credible. A reduction in the EBITDA-margin target would be a significant negative surprise.</w:t>
      </w:r>
    </w:p>
    <w:bookmarkEnd w:id="13"/>
    <w:bookmarkStart w:id="14" w:name="Xfd0ec2bb448a415972269ea0357cab6ce81f377"/>
    <w:p>
      <w:pPr>
        <w:pStyle w:val="Heading3"/>
      </w:pPr>
      <w:r>
        <w:t xml:space="preserve">5. Cash flow, inventory, and balance-sheet discipline</w:t>
      </w:r>
    </w:p>
    <w:p>
      <w:pPr>
        <w:pStyle w:val="FirstParagraph"/>
      </w:pPr>
      <w:r>
        <w:t xml:space="preserve">Q1 free cash flow was negative</w:t>
      </w:r>
      <w:r>
        <w:t xml:space="preserve"> </w:t>
      </w:r>
      <w:r>
        <w:rPr>
          <w:b/>
          <w:bCs/>
        </w:rPr>
        <w:t xml:space="preserve">$55 million</w:t>
      </w:r>
      <w:r>
        <w:t xml:space="preserve">, primarily because Axon deliberately increased inventory to support rapidly growing hardware demand, including Dedrone. Management maintained full-year expectations for:</w:t>
      </w:r>
    </w:p>
    <w:p>
      <w:pPr>
        <w:pStyle w:val="Compact"/>
        <w:numPr>
          <w:ilvl w:val="0"/>
          <w:numId w:val="1005"/>
        </w:numPr>
      </w:pPr>
      <w:r>
        <w:rPr>
          <w:b/>
          <w:bCs/>
        </w:rPr>
        <w:t xml:space="preserve">Operating cash flow above $600 million</w:t>
      </w:r>
    </w:p>
    <w:p>
      <w:pPr>
        <w:pStyle w:val="Compact"/>
        <w:numPr>
          <w:ilvl w:val="0"/>
          <w:numId w:val="1005"/>
        </w:numPr>
      </w:pPr>
      <w:r>
        <w:rPr>
          <w:b/>
          <w:bCs/>
        </w:rPr>
        <w:t xml:space="preserve">Free cash flow of approximately $450 million</w:t>
      </w:r>
    </w:p>
    <w:p>
      <w:pPr>
        <w:pStyle w:val="Compact"/>
        <w:numPr>
          <w:ilvl w:val="0"/>
          <w:numId w:val="1005"/>
        </w:numPr>
      </w:pPr>
      <w:r>
        <w:rPr>
          <w:b/>
          <w:bCs/>
        </w:rPr>
        <w:t xml:space="preserve">Capex of</w:t>
      </w:r>
      <w:r>
        <w:rPr>
          <w:b/>
          <w:bCs/>
        </w:rPr>
        <w:t xml:space="preserve"> </w:t>
      </w:r>
      <m:oMath>
        <m:r>
          <m:t>160</m:t>
        </m:r>
        <m:r>
          <m:t>m</m:t>
        </m:r>
        <m:r>
          <m:t>i</m:t>
        </m:r>
        <m:r>
          <m:t>l</m:t>
        </m:r>
        <m:r>
          <m:t>l</m:t>
        </m:r>
        <m:r>
          <m:t>i</m:t>
        </m:r>
        <m:r>
          <m:t>o</m:t>
        </m:r>
        <m:r>
          <m:t>n</m:t>
        </m:r>
        <m:r>
          <m:rPr>
            <m:sty m:val="p"/>
          </m:rPr>
          <m:t>–</m:t>
        </m:r>
      </m:oMath>
      <w:r>
        <w:rPr>
          <w:b/>
          <w:bCs/>
        </w:rPr>
        <w:t xml:space="preserve">190 million</w:t>
      </w:r>
    </w:p>
    <w:p>
      <w:pPr>
        <w:pStyle w:val="FirstParagraph"/>
      </w:pPr>
      <w:r>
        <w:t xml:space="preserve">The inventory build is strategically understandable: Axon’s hardware has long product cycles and management does not want supply constraints to cap revenue growth. But the scale matters. Inventory rose to</w:t>
      </w:r>
      <w:r>
        <w:t xml:space="preserve"> </w:t>
      </w:r>
      <w:r>
        <w:rPr>
          <w:b/>
          <w:bCs/>
        </w:rPr>
        <w:t xml:space="preserve">$408 million</w:t>
      </w:r>
      <w:r>
        <w:t xml:space="preserve"> </w:t>
      </w:r>
      <w:r>
        <w:t xml:space="preserve">at March 31 from</w:t>
      </w:r>
      <w:r>
        <w:t xml:space="preserve"> </w:t>
      </w:r>
      <m:oMath>
        <m:r>
          <m:t>342</m:t>
        </m:r>
        <m:r>
          <m:t>m</m:t>
        </m:r>
        <m:r>
          <m:t>i</m:t>
        </m:r>
        <m:r>
          <m:t>l</m:t>
        </m:r>
        <m:r>
          <m:t>l</m:t>
        </m:r>
        <m:r>
          <m:t>i</m:t>
        </m:r>
        <m:r>
          <m:t>o</m:t>
        </m:r>
        <m:r>
          <m:t>n</m:t>
        </m:r>
        <m:r>
          <m:t>a</m:t>
        </m:r>
        <m:r>
          <m:t>t</m:t>
        </m:r>
        <m:r>
          <m:t>y</m:t>
        </m:r>
        <m:r>
          <m:t>e</m:t>
        </m:r>
        <m:r>
          <m:t>a</m:t>
        </m:r>
        <m:r>
          <m:t>r</m:t>
        </m:r>
        <m:r>
          <m:rPr>
            <m:sty m:val="p"/>
          </m:rPr>
          <m:t>−</m:t>
        </m:r>
        <m:r>
          <m:t>e</m:t>
        </m:r>
        <m:r>
          <m:t>n</m:t>
        </m:r>
        <m:r>
          <m:t>d</m:t>
        </m:r>
        <m:r>
          <m:rPr>
            <m:sty m:val="p"/>
          </m:rPr>
          <m:t>,</m:t>
        </m:r>
        <m:r>
          <m:t>w</m:t>
        </m:r>
        <m:r>
          <m:t>h</m:t>
        </m:r>
        <m:r>
          <m:t>i</m:t>
        </m:r>
        <m:r>
          <m:t>l</m:t>
        </m:r>
        <m:r>
          <m:t>e</m:t>
        </m:r>
        <m:r>
          <m:t>A</m:t>
        </m:r>
        <m:r>
          <m:t>x</m:t>
        </m:r>
        <m:r>
          <m:t>o</m:t>
        </m:r>
        <m:r>
          <m:t>n</m:t>
        </m:r>
        <m:r>
          <m:t>e</m:t>
        </m:r>
        <m:r>
          <m:t>n</m:t>
        </m:r>
        <m:r>
          <m:t>d</m:t>
        </m:r>
        <m:r>
          <m:t>e</m:t>
        </m:r>
        <m:r>
          <m:t>d</m:t>
        </m:r>
        <m:r>
          <m:t>Q</m:t>
        </m:r>
        <m:r>
          <m:t>1</m:t>
        </m:r>
        <m:r>
          <m:t>w</m:t>
        </m:r>
        <m:r>
          <m:t>i</m:t>
        </m:r>
        <m:r>
          <m:t>t</m:t>
        </m:r>
        <m:r>
          <m:t>h</m:t>
        </m:r>
        <m:r>
          <m:t>r</m:t>
        </m:r>
        <m:r>
          <m:t>o</m:t>
        </m:r>
        <m:r>
          <m:t>u</m:t>
        </m:r>
        <m:r>
          <m:t>g</m:t>
        </m:r>
        <m:r>
          <m:t>h</m:t>
        </m:r>
        <m:r>
          <m:t>l</m:t>
        </m:r>
        <m:r>
          <m:t>y</m:t>
        </m:r>
        <m:r>
          <m:rPr>
            <m:sty m:val="p"/>
          </m:rPr>
          <m:t>*</m:t>
        </m:r>
        <m:r>
          <m:rPr>
            <m:sty m:val="p"/>
          </m:rPr>
          <m:t>*</m:t>
        </m:r>
      </m:oMath>
      <w:r>
        <w:t xml:space="preserve">1.0 billion of net debt**, driven largely by acquisitions and investments.</w:t>
      </w:r>
    </w:p>
    <w:p>
      <w:pPr>
        <w:pStyle w:val="BodyText"/>
      </w:pPr>
      <w:r>
        <w:t xml:space="preserve">Q2 cash conversion could remain uneven—Q2 2025 also had negative free cash flow—but management needs to demonstrate that working-capital investment is controlled and that the full-year cash-flow target remains intact.</w:t>
      </w:r>
    </w:p>
    <w:bookmarkEnd w:id="14"/>
    <w:bookmarkEnd w:id="15"/>
    <w:bookmarkStart w:id="16" w:name="metric-dashboard"/>
    <w:p>
      <w:pPr>
        <w:pStyle w:val="Heading2"/>
      </w:pPr>
      <w:r>
        <w:t xml:space="preserve">Metric dashboard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w:t>
            </w:r>
          </w:p>
        </w:tc>
        <w:tc>
          <w:tcPr/>
          <w:p>
            <w:pPr>
              <w:pStyle w:val="Compact"/>
            </w:pPr>
            <w:r>
              <w:t xml:space="preserve">What to watch in Q2 2026</w:t>
            </w:r>
          </w:p>
        </w:tc>
      </w:tr>
      <w:tr>
        <w:tc>
          <w:tcPr/>
          <w:p>
            <w:pPr>
              <w:pStyle w:val="Compact"/>
            </w:pPr>
            <w:r>
              <w:t xml:space="preserve">Revenue growth</w:t>
            </w:r>
          </w:p>
        </w:tc>
        <w:tc>
          <w:tcPr/>
          <w:p>
            <w:pPr>
              <w:pStyle w:val="Compact"/>
              <w:jc w:val="right"/>
            </w:pPr>
            <w:r>
              <w:t xml:space="preserve">34%</w:t>
            </w:r>
          </w:p>
        </w:tc>
        <w:tc>
          <w:tcPr/>
          <w:p>
            <w:pPr>
              <w:pStyle w:val="Compact"/>
              <w:jc w:val="right"/>
            </w:pPr>
            <w:r>
              <w:t xml:space="preserve">33%</w:t>
            </w:r>
          </w:p>
        </w:tc>
        <w:tc>
          <w:tcPr/>
          <w:p>
            <w:pPr>
              <w:pStyle w:val="Compact"/>
            </w:pPr>
            <w:r>
              <w:t xml:space="preserve">Sustained 30%+ growth; upside versus elevated expectations</w:t>
            </w:r>
          </w:p>
        </w:tc>
      </w:tr>
      <w:tr>
        <w:tc>
          <w:tcPr/>
          <w:p>
            <w:pPr>
              <w:pStyle w:val="Compact"/>
            </w:pPr>
            <w:r>
              <w:t xml:space="preserve">Software &amp; Services growth</w:t>
            </w:r>
          </w:p>
        </w:tc>
        <w:tc>
          <w:tcPr/>
          <w:p>
            <w:pPr>
              <w:pStyle w:val="Compact"/>
              <w:jc w:val="right"/>
            </w:pPr>
            <w:r>
              <w:t xml:space="preserve">35%</w:t>
            </w:r>
          </w:p>
        </w:tc>
        <w:tc>
          <w:tcPr/>
          <w:p>
            <w:pPr>
              <w:pStyle w:val="Compact"/>
              <w:jc w:val="right"/>
            </w:pPr>
            <w:r>
              <w:t xml:space="preserve">39%</w:t>
            </w:r>
          </w:p>
        </w:tc>
        <w:tc>
          <w:tcPr/>
          <w:p>
            <w:pPr>
              <w:pStyle w:val="Compact"/>
            </w:pPr>
            <w:r>
              <w:t xml:space="preserve">ARR conversion, premium-plan adoption, AI contribution</w:t>
            </w:r>
          </w:p>
        </w:tc>
      </w:tr>
      <w:tr>
        <w:tc>
          <w:tcPr/>
          <w:p>
            <w:pPr>
              <w:pStyle w:val="Compact"/>
            </w:pPr>
            <w:r>
              <w:t xml:space="preserve">Connected Devices growth</w:t>
            </w:r>
          </w:p>
        </w:tc>
        <w:tc>
          <w:tcPr/>
          <w:p>
            <w:pPr>
              <w:pStyle w:val="Compact"/>
              <w:jc w:val="right"/>
            </w:pPr>
            <w:r>
              <w:t xml:space="preserve">33%</w:t>
            </w:r>
          </w:p>
        </w:tc>
        <w:tc>
          <w:tcPr/>
          <w:p>
            <w:pPr>
              <w:pStyle w:val="Compact"/>
              <w:jc w:val="right"/>
            </w:pPr>
            <w:r>
              <w:t xml:space="preserve">29%</w:t>
            </w:r>
          </w:p>
        </w:tc>
        <w:tc>
          <w:tcPr/>
          <w:p>
            <w:pPr>
              <w:pStyle w:val="Compact"/>
            </w:pPr>
            <w:r>
              <w:t xml:space="preserve">TASER 10 / Body 4 durability and Platform Solutions mix</w:t>
            </w:r>
          </w:p>
        </w:tc>
      </w:tr>
      <w:tr>
        <w:tc>
          <w:tcPr/>
          <w:p>
            <w:pPr>
              <w:pStyle w:val="Compact"/>
            </w:pPr>
            <w:r>
              <w:t xml:space="preserve">ARR</w:t>
            </w:r>
          </w:p>
        </w:tc>
        <w:tc>
          <w:tcPr/>
          <w:p>
            <w:pPr>
              <w:pStyle w:val="Compact"/>
              <w:jc w:val="right"/>
            </w:pPr>
            <w:r>
              <w:t xml:space="preserve">$1.49B, +35% YoY</w:t>
            </w:r>
          </w:p>
        </w:tc>
        <w:tc>
          <w:tcPr/>
          <w:p>
            <w:pPr>
              <w:pStyle w:val="Compact"/>
              <w:jc w:val="right"/>
            </w:pPr>
            <w:r>
              <w:t xml:space="preserve">$1.18B, +39% YoY</w:t>
            </w:r>
          </w:p>
        </w:tc>
        <w:tc>
          <w:tcPr/>
          <w:p>
            <w:pPr>
              <w:pStyle w:val="Compact"/>
            </w:pPr>
            <w:r>
              <w:t xml:space="preserve">Continued growth and evidence of AI-driven expansion</w:t>
            </w:r>
          </w:p>
        </w:tc>
      </w:tr>
      <w:tr>
        <w:tc>
          <w:tcPr/>
          <w:p>
            <w:pPr>
              <w:pStyle w:val="Compact"/>
            </w:pPr>
            <w:r>
              <w:t xml:space="preserve">Net revenue retention</w:t>
            </w:r>
          </w:p>
        </w:tc>
        <w:tc>
          <w:tcPr/>
          <w:p>
            <w:pPr>
              <w:pStyle w:val="Compact"/>
              <w:jc w:val="right"/>
            </w:pPr>
            <w:r>
              <w:t xml:space="preserve">125%</w:t>
            </w:r>
          </w:p>
        </w:tc>
        <w:tc>
          <w:tcPr/>
          <w:p>
            <w:pPr>
              <w:pStyle w:val="Compact"/>
              <w:jc w:val="right"/>
            </w:pPr>
            <w:r>
              <w:t xml:space="preserve">124%</w:t>
            </w:r>
          </w:p>
        </w:tc>
        <w:tc>
          <w:tcPr/>
          <w:p>
            <w:pPr>
              <w:pStyle w:val="Compact"/>
            </w:pPr>
            <w:r>
              <w:t xml:space="preserve">Stability near 125% would validate land-and-expand</w:t>
            </w:r>
          </w:p>
        </w:tc>
      </w:tr>
      <w:tr>
        <w:tc>
          <w:tcPr/>
          <w:p>
            <w:pPr>
              <w:pStyle w:val="Compact"/>
            </w:pPr>
            <w:r>
              <w:t xml:space="preserve">Future contracted bookings</w:t>
            </w:r>
          </w:p>
        </w:tc>
        <w:tc>
          <w:tcPr/>
          <w:p>
            <w:pPr>
              <w:pStyle w:val="Compact"/>
              <w:jc w:val="right"/>
            </w:pPr>
            <w:r>
              <w:t xml:space="preserve">$14.3B, +44% YoY</w:t>
            </w:r>
          </w:p>
        </w:tc>
        <w:tc>
          <w:tcPr/>
          <w:p>
            <w:pPr>
              <w:pStyle w:val="Compact"/>
              <w:jc w:val="right"/>
            </w:pPr>
            <w:r>
              <w:t xml:space="preserve">$10.7B, +43% YoY</w:t>
            </w:r>
          </w:p>
        </w:tc>
        <w:tc>
          <w:tcPr/>
          <w:p>
            <w:pPr>
              <w:pStyle w:val="Compact"/>
            </w:pPr>
            <w:r>
              <w:t xml:space="preserve">Growth, large-deal cadence, and delivery visibility</w:t>
            </w:r>
          </w:p>
        </w:tc>
      </w:tr>
      <w:tr>
        <w:tc>
          <w:tcPr/>
          <w:p>
            <w:pPr>
              <w:pStyle w:val="Compact"/>
            </w:pPr>
            <w:r>
              <w:t xml:space="preserve">Adjusted EBITDA margin</w:t>
            </w:r>
          </w:p>
        </w:tc>
        <w:tc>
          <w:tcPr/>
          <w:p>
            <w:pPr>
              <w:pStyle w:val="Compact"/>
              <w:jc w:val="right"/>
            </w:pPr>
            <w:r>
              <w:t xml:space="preserve">25.0%</w:t>
            </w:r>
          </w:p>
        </w:tc>
        <w:tc>
          <w:tcPr/>
          <w:p>
            <w:pPr>
              <w:pStyle w:val="Compact"/>
              <w:jc w:val="right"/>
            </w:pPr>
            <w:r>
              <w:t xml:space="preserve">25.7%</w:t>
            </w:r>
          </w:p>
        </w:tc>
        <w:tc>
          <w:tcPr/>
          <w:p>
            <w:pPr>
              <w:pStyle w:val="Compact"/>
            </w:pPr>
            <w:r>
              <w:t xml:space="preserve">Progress toward 25.5% FY target</w:t>
            </w:r>
          </w:p>
        </w:tc>
      </w:tr>
      <w:tr>
        <w:tc>
          <w:tcPr/>
          <w:p>
            <w:pPr>
              <w:pStyle w:val="Compact"/>
            </w:pPr>
            <w:r>
              <w:t xml:space="preserve">Free cash flow</w:t>
            </w:r>
          </w:p>
        </w:tc>
        <w:tc>
          <w:tcPr/>
          <w:p>
            <w:pPr>
              <w:pStyle w:val="Compact"/>
              <w:jc w:val="right"/>
            </w:pPr>
            <w:r>
              <w:t xml:space="preserve">$(55)M</w:t>
            </w:r>
          </w:p>
        </w:tc>
        <w:tc>
          <w:tcPr/>
          <w:p>
            <w:pPr>
              <w:pStyle w:val="Compact"/>
              <w:jc w:val="right"/>
            </w:pPr>
            <w:r>
              <w:t xml:space="preserve">$(115)M</w:t>
            </w:r>
          </w:p>
        </w:tc>
        <w:tc>
          <w:tcPr/>
          <w:p>
            <w:pPr>
              <w:pStyle w:val="Compact"/>
            </w:pPr>
            <w:r>
              <w:t xml:space="preserve">Inventory/working-capital normalization and FY confidence</w:t>
            </w:r>
          </w:p>
        </w:tc>
      </w:tr>
    </w:tbl>
    <w:bookmarkEnd w:id="16"/>
    <w:bookmarkStart w:id="17" w:name="catalysts"/>
    <w:p>
      <w:pPr>
        <w:pStyle w:val="Heading2"/>
      </w:pPr>
      <w:r>
        <w:t xml:space="preserve">Catalysts</w:t>
      </w:r>
    </w:p>
    <w:p>
      <w:pPr>
        <w:pStyle w:val="Compact"/>
        <w:numPr>
          <w:ilvl w:val="0"/>
          <w:numId w:val="1006"/>
        </w:numPr>
      </w:pPr>
      <w:r>
        <w:rPr>
          <w:b/>
          <w:bCs/>
        </w:rPr>
        <w:t xml:space="preserve">Another revenue beat and guide increase.</w:t>
      </w:r>
      <w:r>
        <w:t xml:space="preserve"> </w:t>
      </w:r>
      <w:r>
        <w:t xml:space="preserve">Q1 guidance was raised after a strong start; a second increase would reinforce management’s view that the company can outperform its already elevated 30%–32% growth outlook.</w:t>
      </w:r>
    </w:p>
    <w:p>
      <w:pPr>
        <w:pStyle w:val="Compact"/>
        <w:numPr>
          <w:ilvl w:val="0"/>
          <w:numId w:val="1006"/>
        </w:numPr>
      </w:pPr>
      <w:r>
        <w:rPr>
          <w:b/>
          <w:bCs/>
        </w:rPr>
        <w:t xml:space="preserve">ARR and bookings strength.</w:t>
      </w:r>
      <w:r>
        <w:t xml:space="preserve"> </w:t>
      </w:r>
      <w:r>
        <w:t xml:space="preserve">Continued growth in recurring revenue and future contracted bookings would provide better long-term visibility than a hardware-heavy quarterly revenue beat alone.</w:t>
      </w:r>
    </w:p>
    <w:p>
      <w:pPr>
        <w:pStyle w:val="Compact"/>
        <w:numPr>
          <w:ilvl w:val="0"/>
          <w:numId w:val="1006"/>
        </w:numPr>
      </w:pPr>
      <w:r>
        <w:rPr>
          <w:b/>
          <w:bCs/>
        </w:rPr>
        <w:t xml:space="preserve">Dedrone validation.</w:t>
      </w:r>
      <w:r>
        <w:t xml:space="preserve"> </w:t>
      </w:r>
      <w:r>
        <w:t xml:space="preserve">Evidence of sustained demand across federal, enterprise, international, and municipal infrastructure would strengthen the argument for a new multi-year growth leg.</w:t>
      </w:r>
    </w:p>
    <w:p>
      <w:pPr>
        <w:pStyle w:val="Compact"/>
        <w:numPr>
          <w:ilvl w:val="0"/>
          <w:numId w:val="1006"/>
        </w:numPr>
      </w:pPr>
      <w:r>
        <w:rPr>
          <w:b/>
          <w:bCs/>
        </w:rPr>
        <w:t xml:space="preserve">International expansion.</w:t>
      </w:r>
      <w:r>
        <w:t xml:space="preserve"> </w:t>
      </w:r>
      <w:r>
        <w:t xml:space="preserve">International represented 20% of Q1 revenue. Continued execution could diversify Axon’s revenue base and add incremental large-deal opportunities.</w:t>
      </w:r>
    </w:p>
    <w:p>
      <w:pPr>
        <w:pStyle w:val="Compact"/>
        <w:numPr>
          <w:ilvl w:val="0"/>
          <w:numId w:val="1006"/>
        </w:numPr>
      </w:pPr>
      <w:r>
        <w:rPr>
          <w:b/>
          <w:bCs/>
        </w:rPr>
        <w:t xml:space="preserve">Enterprise and 911 optionality.</w:t>
      </w:r>
      <w:r>
        <w:t xml:space="preserve"> </w:t>
      </w:r>
      <w:r>
        <w:t xml:space="preserve">Fusus, Axon Body Mini, Carbyne, and Prepared are still relatively small contributors, but wins here would support the long-term opportunity beyond traditional law enforcement.</w:t>
      </w:r>
    </w:p>
    <w:bookmarkEnd w:id="17"/>
    <w:bookmarkStart w:id="18" w:name="risks"/>
    <w:p>
      <w:pPr>
        <w:pStyle w:val="Heading2"/>
      </w:pPr>
      <w:r>
        <w:t xml:space="preserve">Risks</w:t>
      </w:r>
    </w:p>
    <w:p>
      <w:pPr>
        <w:pStyle w:val="Compact"/>
        <w:numPr>
          <w:ilvl w:val="0"/>
          <w:numId w:val="1007"/>
        </w:numPr>
      </w:pPr>
      <w:r>
        <w:rPr>
          <w:b/>
          <w:bCs/>
        </w:rPr>
        <w:t xml:space="preserve">Expectations and valuation risk.</w:t>
      </w:r>
      <w:r>
        <w:t xml:space="preserve"> </w:t>
      </w:r>
      <w:r>
        <w:t xml:space="preserve">AXON’s sharp advance into the print means a merely solid quarter—or guidance that simply reiterates prior expectations—could disappoint.</w:t>
      </w:r>
    </w:p>
    <w:p>
      <w:pPr>
        <w:pStyle w:val="Compact"/>
        <w:numPr>
          <w:ilvl w:val="0"/>
          <w:numId w:val="1007"/>
        </w:numPr>
      </w:pPr>
      <w:r>
        <w:rPr>
          <w:b/>
          <w:bCs/>
        </w:rPr>
        <w:t xml:space="preserve">Hardware-mix and tariff pressure.</w:t>
      </w:r>
      <w:r>
        <w:t xml:space="preserve"> </w:t>
      </w:r>
      <w:r>
        <w:t xml:space="preserve">Fast Dedrone growth is beneficial for revenue but can pressure connected-devices gross margin.</w:t>
      </w:r>
    </w:p>
    <w:p>
      <w:pPr>
        <w:pStyle w:val="Compact"/>
        <w:numPr>
          <w:ilvl w:val="0"/>
          <w:numId w:val="1007"/>
        </w:numPr>
      </w:pPr>
      <w:r>
        <w:rPr>
          <w:b/>
          <w:bCs/>
        </w:rPr>
        <w:t xml:space="preserve">Cash-conversion execution.</w:t>
      </w:r>
      <w:r>
        <w:t xml:space="preserve"> </w:t>
      </w:r>
      <w:r>
        <w:t xml:space="preserve">Inventory investment supports growth but raises the burden of proof around the approximately $450 million free-cash-flow target.</w:t>
      </w:r>
    </w:p>
    <w:p>
      <w:pPr>
        <w:pStyle w:val="Compact"/>
        <w:numPr>
          <w:ilvl w:val="0"/>
          <w:numId w:val="1007"/>
        </w:numPr>
      </w:pPr>
      <w:r>
        <w:rPr>
          <w:b/>
          <w:bCs/>
        </w:rPr>
        <w:t xml:space="preserve">Large-deal timing.</w:t>
      </w:r>
      <w:r>
        <w:t xml:space="preserve"> </w:t>
      </w:r>
      <w:r>
        <w:t xml:space="preserve">Government, international, and enterprise contracts can be lumpy, with revenue timing sensitive to procurement, shipment, and deployment schedules.</w:t>
      </w:r>
    </w:p>
    <w:p>
      <w:pPr>
        <w:pStyle w:val="Compact"/>
        <w:numPr>
          <w:ilvl w:val="0"/>
          <w:numId w:val="1007"/>
        </w:numPr>
      </w:pPr>
      <w:r>
        <w:rPr>
          <w:b/>
          <w:bCs/>
        </w:rPr>
        <w:t xml:space="preserve">Policy and public-scrutiny risk.</w:t>
      </w:r>
      <w:r>
        <w:t xml:space="preserve"> </w:t>
      </w:r>
      <w:r>
        <w:t xml:space="preserve">Recent reporting highlighted ICE’s potential five-year, $220 million Taser procurement opportunity; no award had been announced as of the latest available reporting. The opportunity could be meaningful if awarded, but it is not a prudent near-term base-case assumption and may attract political scrutiny.</w:t>
      </w:r>
    </w:p>
    <w:bookmarkEnd w:id="18"/>
    <w:bookmarkStart w:id="20" w:name="bottom-line"/>
    <w:p>
      <w:pPr>
        <w:pStyle w:val="Heading2"/>
      </w:pPr>
      <w:r>
        <w:t xml:space="preserve">Bottom line</w:t>
      </w:r>
    </w:p>
    <w:p>
      <w:pPr>
        <w:pStyle w:val="FirstParagraph"/>
      </w:pPr>
      <w:r>
        <w:t xml:space="preserve">Axon has one of the stronger fundamental setups in growth technology: high recurring-revenue expansion, strong retention, a large contracted-bookings base, durable core-device demand, and several increasingly credible adjacencies. The Q2 report should determine whether the company can extend its remarkable 30%-plus growth streak while preserving the margin and cash-flow framework required to justify investor expectations.</w:t>
      </w:r>
    </w:p>
    <w:p>
      <w:pPr>
        <w:pStyle w:val="BodyText"/>
      </w:pPr>
      <w:r>
        <w:t xml:space="preserve">The most important signals tonight are likely to be</w:t>
      </w:r>
      <w:r>
        <w:t xml:space="preserve"> </w:t>
      </w:r>
      <w:r>
        <w:rPr>
          <w:b/>
          <w:bCs/>
        </w:rPr>
        <w:t xml:space="preserve">2026 guidance</w:t>
      </w:r>
      <w:r>
        <w:t xml:space="preserve">,</w:t>
      </w:r>
      <w:r>
        <w:t xml:space="preserve"> </w:t>
      </w:r>
      <w:r>
        <w:rPr>
          <w:b/>
          <w:bCs/>
        </w:rPr>
        <w:t xml:space="preserve">ARR/NRR and bookings momentum</w:t>
      </w:r>
      <w:r>
        <w:t xml:space="preserve">,</w:t>
      </w:r>
      <w:r>
        <w:t xml:space="preserve"> </w:t>
      </w:r>
      <w:r>
        <w:rPr>
          <w:b/>
          <w:bCs/>
        </w:rPr>
        <w:t xml:space="preserve">Dedrone demand and margin commentary</w:t>
      </w:r>
      <w:r>
        <w:t xml:space="preserve">, and</w:t>
      </w:r>
      <w:r>
        <w:t xml:space="preserve"> </w:t>
      </w:r>
      <w:r>
        <w:rPr>
          <w:b/>
          <w:bCs/>
        </w:rPr>
        <w:t xml:space="preserve">confidence in second-half cash conversion</w:t>
      </w:r>
      <w:r>
        <w:t xml:space="preserve">—more than the headline EPS figure, which can be affected by stock compensation, strategic-investment marks, and other non-core items.</w:t>
      </w:r>
    </w:p>
    <w:bookmarkStart w:id="19" w:name="research-sources"/>
    <w:p>
      <w:pPr>
        <w:pStyle w:val="Heading3"/>
      </w:pPr>
      <w:r>
        <w:t xml:space="preserve">Research sources</w:t>
      </w:r>
    </w:p>
    <w:p>
      <w:pPr>
        <w:pStyle w:val="Compact"/>
        <w:numPr>
          <w:ilvl w:val="0"/>
          <w:numId w:val="1008"/>
        </w:numPr>
      </w:pPr>
      <w:r>
        <w:t xml:space="preserve">Axon Q1 2026 earnings release and conference-call transcript, May 6, 2026</w:t>
      </w:r>
    </w:p>
    <w:p>
      <w:pPr>
        <w:pStyle w:val="Compact"/>
        <w:numPr>
          <w:ilvl w:val="0"/>
          <w:numId w:val="1008"/>
        </w:numPr>
      </w:pPr>
      <w:r>
        <w:t xml:space="preserve">Axon Q2 2025 earnings release, August 4, 2025</w:t>
      </w:r>
    </w:p>
    <w:p>
      <w:pPr>
        <w:pStyle w:val="Compact"/>
        <w:numPr>
          <w:ilvl w:val="0"/>
          <w:numId w:val="1008"/>
        </w:numPr>
      </w:pPr>
      <w:r>
        <w:t xml:space="preserve">Axon earnings-date announcement, July 22, 2026</w:t>
      </w:r>
    </w:p>
    <w:p>
      <w:pPr>
        <w:pStyle w:val="Compact"/>
        <w:numPr>
          <w:ilvl w:val="0"/>
          <w:numId w:val="1008"/>
        </w:numPr>
      </w:pPr>
      <w:r>
        <w:t xml:space="preserve">AXON historical closing-price data through August 4,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2026-08-05T01:00:41Z</dcterms:created>
  <dcterms:modified xsi:type="dcterms:W3CDTF">2026-08-05T01:00:41Z</dcterms:modified>
</cp:coreProperties>
</file>

<file path=docProps/custom.xml><?xml version="1.0" encoding="utf-8"?>
<Properties xmlns="http://schemas.openxmlformats.org/officeDocument/2006/custom-properties" xmlns:vt="http://schemas.openxmlformats.org/officeDocument/2006/docPropsVTypes"/>
</file>