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AXON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Axon Enterprise, Inc.</w:t>
            </w:r>
          </w:p>
        </w:tc>
      </w:tr>
      <w:tr>
        <w:tc>
          <w:tcPr>
            <w:tcW w:type="dxa" w:w="4320"/>
          </w:tcPr>
          <w:p>
            <w:r>
              <w:rPr>
                <w:rFonts w:ascii="Calibri" w:hAnsi="Calibri"/>
                <w:b/>
                <w:sz w:val="22"/>
              </w:rPr>
              <w:t>Ticker</w:t>
            </w:r>
          </w:p>
        </w:tc>
        <w:tc>
          <w:tcPr>
            <w:tcW w:type="dxa" w:w="4320"/>
          </w:tcPr>
          <w:p>
            <w:r>
              <w:rPr>
                <w:rFonts w:ascii="Calibri" w:hAnsi="Calibri"/>
                <w:sz w:val="22"/>
              </w:rPr>
              <w:t>AXON (NASDAQ)</w:t>
            </w:r>
          </w:p>
        </w:tc>
      </w:tr>
      <w:tr>
        <w:tc>
          <w:tcPr>
            <w:tcW w:type="dxa" w:w="4320"/>
          </w:tcPr>
          <w:p>
            <w:r>
              <w:rPr>
                <w:rFonts w:ascii="Calibri" w:hAnsi="Calibri"/>
                <w:b/>
                <w:sz w:val="22"/>
              </w:rPr>
              <w:t>Upcoming Earnings Date</w:t>
            </w:r>
          </w:p>
        </w:tc>
        <w:tc>
          <w:tcPr>
            <w:tcW w:type="dxa" w:w="4320"/>
          </w:tcPr>
          <w:p>
            <w:r>
              <w:rPr>
                <w:rFonts w:ascii="Calibri" w:hAnsi="Calibri"/>
                <w:sz w:val="22"/>
              </w:rPr>
              <w:t>August 5,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 consensus revenue of ~$876M implies ~31% YoY growth, a step-down from Q1's 34%, and management's raised full-year guidance of 30–32% growth leaves room for upside; the single biggest swing factor is whether </w:t>
      </w:r>
      <w:r>
        <w:rPr>
          <w:rFonts w:ascii="Calibri" w:hAnsi="Calibri"/>
          <w:b/>
          <w:color w:val="525866"/>
          <w:sz w:val="22"/>
        </w:rPr>
        <w:t>ARR and bookings momentum</w:t>
      </w:r>
      <w:r>
        <w:rPr>
          <w:rFonts w:ascii="Calibri" w:hAnsi="Calibri"/>
          <w:color w:val="525866"/>
          <w:sz w:val="22"/>
        </w:rPr>
        <w:t xml:space="preserve"> (particularly counter-drone and AI Era Plan) continues to accelerate or shows any sign of lumpiness.</w:t>
      </w:r>
    </w:p>
    <w:p>
      <w:r>
        <w:rPr>
          <w:rFonts w:ascii="Calibri" w:hAnsi="Calibri"/>
          <w:color w:val="525866"/>
          <w:sz w:val="22"/>
        </w:rPr>
        <w:t xml:space="preserve">Heading into Q2 2026, the bar for AXON looks achievable but not easy: consensus sits at ~$876M in revenue and ~$1.78–1.79 in adjusted EPS, both implying a modest deceleration from Q1's blowout print, yet management's raised full-year guidance of 30–32% growth effectively requires Q2–Q4 to average roughly 29–31% — a range the company has comfortably exceeded for nine consecutive quarters. </w:t>
      </w:r>
      <w:r>
        <w:rPr>
          <w:rFonts w:ascii="Calibri" w:hAnsi="Calibri"/>
          <w:b/>
          <w:color w:val="525866"/>
          <w:sz w:val="22"/>
        </w:rPr>
        <w:t>Management's tone on the Q1 call was the most confident in recent memory</w:t>
      </w:r>
      <w:r>
        <w:rPr>
          <w:rFonts w:ascii="Calibri" w:hAnsi="Calibri"/>
          <w:color w:val="525866"/>
          <w:sz w:val="22"/>
        </w:rPr>
        <w:t xml:space="preserve">, with CEO Patrick Smith calling Q4 2025 and Q1 2026 the company's best two consecutive quarters in history, and CFO Brittany Bagley explicitly flagging that software/services ARR step-ups would begin showing in Q2 revenue — a direct forward signal. Estimate revisions have been modestly positive since the Q1 print, with Q2 revenue consensus rising from ~$876M to ~$876M (roughly flat) and full-year consensus holding near $3.67B, suggesting the street is not yet pricing in the full upside from counter-drone (bookings up 500% YoY in Q1), AI Era Plan (bookings up 140% YoY), and the $40M telecom enterprise deal closed in April. </w:t>
      </w:r>
      <w:r>
        <w:rPr>
          <w:rFonts w:ascii="Calibri" w:hAnsi="Calibri"/>
          <w:b/>
          <w:color w:val="525866"/>
          <w:sz w:val="22"/>
        </w:rPr>
        <w:t>The stock has surged ~57% since the Q1 earnings date</w:t>
      </w:r>
      <w:r>
        <w:rPr>
          <w:rFonts w:ascii="Calibri" w:hAnsi="Calibri"/>
          <w:color w:val="525866"/>
          <w:sz w:val="22"/>
        </w:rPr>
        <w:t xml:space="preserve"> (indexed to 100 on May 6), dramatically outperforming ITA (+12%) and SPY (+5%), driven by the Trump/ICE contract narrative, two new board appointments (Dell strategy chief and poolside AI co-founder), and $30.9M in ICE body camera orders awarded in July — meaning a meaningful portion of the upside is already priced in at ~80x forward P/E. The wildcard heading into the print is the </w:t>
      </w:r>
      <w:r>
        <w:rPr>
          <w:rFonts w:ascii="Calibri" w:hAnsi="Calibri"/>
          <w:b/>
          <w:color w:val="525866"/>
          <w:sz w:val="22"/>
        </w:rPr>
        <w:t>pending $220M ICE TASER contract</w:t>
      </w:r>
      <w:r>
        <w:rPr>
          <w:rFonts w:ascii="Calibri" w:hAnsi="Calibri"/>
          <w:color w:val="525866"/>
          <w:sz w:val="22"/>
        </w:rPr>
        <w:t>: if awarded or advanced before or alongside the print, it could be a significant positive catalyst; if stalled (as current reporting suggests), the market may look past it, keeping focus squarely on organic ARR and bookings trajectory.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 ~31% revenue growth vs. management's 30–32% full-year guide — but </w:t>
      </w:r>
      <w:r>
        <w:rPr>
          <w:rFonts w:ascii="Calibri" w:hAnsi="Calibri"/>
          <w:b/>
          <w:color w:val="525866"/>
          <w:sz w:val="22"/>
        </w:rPr>
        <w:t>ARR is the bigger swing factor</w:t>
      </w:r>
      <w:r>
        <w:rPr>
          <w:rFonts w:ascii="Calibri" w:hAnsi="Calibri"/>
          <w:color w:val="525866"/>
          <w:sz w:val="22"/>
        </w:rPr>
        <w:t>: consensus at ~$1.59B implies ~34% YoY growth, and any acceleration above that (driven by AI Era Plan and counter-drone attach) would be the clearest signal of durable momentum.</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($M)</w:t>
            </w:r>
          </w:p>
        </w:tc>
        <w:tc>
          <w:tcPr>
            <w:tcW w:type="dxa" w:w="1234"/>
          </w:tcPr>
          <w:p>
            <w:r>
              <w:rPr>
                <w:rFonts w:ascii="Calibri" w:hAnsi="Calibri"/>
                <w:sz w:val="22"/>
              </w:rPr>
              <w:t>$807.3M</w:t>
            </w:r>
          </w:p>
        </w:tc>
        <w:tc>
          <w:tcPr>
            <w:tcW w:type="dxa" w:w="1234"/>
          </w:tcPr>
          <w:p>
            <w:r>
              <w:rPr>
                <w:rFonts w:ascii="Calibri" w:hAnsi="Calibri"/>
                <w:sz w:val="22"/>
              </w:rPr>
              <w:t>$668.5M</w:t>
            </w:r>
          </w:p>
        </w:tc>
        <w:tc>
          <w:tcPr>
            <w:tcW w:type="dxa" w:w="1234"/>
          </w:tcPr>
          <w:p>
            <w:r>
              <w:rPr>
                <w:rFonts w:ascii="Calibri" w:hAnsi="Calibri"/>
                <w:sz w:val="22"/>
              </w:rPr>
              <w:t>$875.9M</w:t>
            </w:r>
          </w:p>
        </w:tc>
        <w:tc>
          <w:tcPr>
            <w:tcW w:type="dxa" w:w="1234"/>
          </w:tcPr>
          <w:p>
            <w:r>
              <w:rPr>
                <w:rFonts w:ascii="Calibri" w:hAnsi="Calibri"/>
                <w:sz w:val="22"/>
              </w:rPr>
              <w:t>+31.0%</w:t>
            </w:r>
          </w:p>
        </w:tc>
        <w:tc>
          <w:tcPr>
            <w:tcW w:type="dxa" w:w="1234"/>
          </w:tcPr>
          <w:p>
            <w:r>
              <w:rPr>
                <w:rFonts w:ascii="Calibri" w:hAnsi="Calibri"/>
                <w:sz w:val="22"/>
              </w:rPr>
              <w:t>30–32% growth (~$3.64–$3.71B)</w:t>
            </w:r>
          </w:p>
        </w:tc>
        <w:tc>
          <w:tcPr>
            <w:tcW w:type="dxa" w:w="1234"/>
          </w:tcPr>
          <w:p>
            <w:r>
              <w:rPr>
                <w:rFonts w:ascii="Calibri" w:hAnsi="Calibri"/>
                <w:sz w:val="22"/>
              </w:rPr>
              <w:t>~Midpoint</w:t>
            </w:r>
          </w:p>
        </w:tc>
      </w:tr>
      <w:tr>
        <w:tc>
          <w:tcPr>
            <w:tcW w:type="dxa" w:w="1234"/>
          </w:tcPr>
          <w:p>
            <w:r>
              <w:rPr>
                <w:rFonts w:ascii="Calibri" w:hAnsi="Calibri"/>
                <w:sz w:val="22"/>
              </w:rPr>
              <w:t>ARR ($B)</w:t>
            </w:r>
          </w:p>
        </w:tc>
        <w:tc>
          <w:tcPr>
            <w:tcW w:type="dxa" w:w="1234"/>
          </w:tcPr>
          <w:p>
            <w:r>
              <w:rPr>
                <w:rFonts w:ascii="Calibri" w:hAnsi="Calibri"/>
                <w:sz w:val="22"/>
              </w:rPr>
              <w:t>$1.493B</w:t>
            </w:r>
          </w:p>
        </w:tc>
        <w:tc>
          <w:tcPr>
            <w:tcW w:type="dxa" w:w="1234"/>
          </w:tcPr>
          <w:p>
            <w:r>
              <w:rPr>
                <w:rFonts w:ascii="Calibri" w:hAnsi="Calibri"/>
                <w:sz w:val="22"/>
              </w:rPr>
              <w:t>$1.183B</w:t>
            </w:r>
          </w:p>
        </w:tc>
        <w:tc>
          <w:tcPr>
            <w:tcW w:type="dxa" w:w="1234"/>
          </w:tcPr>
          <w:p>
            <w:r>
              <w:rPr>
                <w:rFonts w:ascii="Calibri" w:hAnsi="Calibri"/>
                <w:sz w:val="22"/>
              </w:rPr>
              <w:t>$1.589B</w:t>
            </w:r>
          </w:p>
        </w:tc>
        <w:tc>
          <w:tcPr>
            <w:tcW w:type="dxa" w:w="1234"/>
          </w:tcPr>
          <w:p>
            <w:r>
              <w:rPr>
                <w:rFonts w:ascii="Calibri" w:hAnsi="Calibri"/>
                <w:sz w:val="22"/>
              </w:rPr>
              <w:t>+34.3%</w:t>
            </w:r>
          </w:p>
        </w:tc>
        <w:tc>
          <w:tcPr>
            <w:tcW w:type="dxa" w:w="1234"/>
          </w:tcPr>
          <w:p>
            <w:r>
              <w:rPr>
                <w:rFonts w:ascii="Calibri" w:hAnsi="Calibri"/>
                <w:sz w:val="22"/>
              </w:rPr>
              <w:t>~$1.80B (FY end)</w:t>
            </w:r>
          </w:p>
        </w:tc>
        <w:tc>
          <w:tcPr>
            <w:tcW w:type="dxa" w:w="1234"/>
          </w:tcPr>
          <w:p>
            <w:r>
              <w:rPr>
                <w:rFonts w:ascii="Calibri" w:hAnsi="Calibri"/>
                <w:sz w:val="22"/>
              </w:rPr>
              <w:t>N/A (quarterly metric)</w:t>
            </w:r>
          </w:p>
        </w:tc>
      </w:tr>
      <w:tr>
        <w:tc>
          <w:tcPr>
            <w:tcW w:type="dxa" w:w="1234"/>
          </w:tcPr>
          <w:p>
            <w:r>
              <w:rPr>
                <w:rFonts w:ascii="Calibri" w:hAnsi="Calibri"/>
                <w:sz w:val="22"/>
              </w:rPr>
              <w:t>Adj. EPS (Diluted)</w:t>
            </w:r>
          </w:p>
        </w:tc>
        <w:tc>
          <w:tcPr>
            <w:tcW w:type="dxa" w:w="1234"/>
          </w:tcPr>
          <w:p>
            <w:r>
              <w:rPr>
                <w:rFonts w:ascii="Calibri" w:hAnsi="Calibri"/>
                <w:sz w:val="22"/>
              </w:rPr>
              <w:t>$1.61</w:t>
            </w:r>
          </w:p>
        </w:tc>
        <w:tc>
          <w:tcPr>
            <w:tcW w:type="dxa" w:w="1234"/>
          </w:tcPr>
          <w:p>
            <w:r>
              <w:rPr>
                <w:rFonts w:ascii="Calibri" w:hAnsi="Calibri"/>
                <w:sz w:val="22"/>
              </w:rPr>
              <w:t>$2.12</w:t>
            </w:r>
          </w:p>
        </w:tc>
        <w:tc>
          <w:tcPr>
            <w:tcW w:type="dxa" w:w="1234"/>
          </w:tcPr>
          <w:p>
            <w:r>
              <w:rPr>
                <w:rFonts w:ascii="Calibri" w:hAnsi="Calibri"/>
                <w:sz w:val="22"/>
              </w:rPr>
              <w:t>$1.78</w:t>
            </w:r>
          </w:p>
        </w:tc>
        <w:tc>
          <w:tcPr>
            <w:tcW w:type="dxa" w:w="1234"/>
          </w:tcPr>
          <w:p>
            <w:r>
              <w:rPr>
                <w:rFonts w:ascii="Calibri" w:hAnsi="Calibri"/>
                <w:sz w:val="22"/>
              </w:rPr>
              <w:t>-16.0%</w:t>
            </w:r>
          </w:p>
        </w:tc>
        <w:tc>
          <w:tcPr>
            <w:tcW w:type="dxa" w:w="1234"/>
          </w:tcPr>
          <w:p>
            <w:r>
              <w:rPr>
                <w:rFonts w:ascii="Calibri" w:hAnsi="Calibri"/>
                <w:sz w:val="22"/>
              </w:rPr>
              <w:t>~$7.63 (FY)</w:t>
            </w:r>
          </w:p>
        </w:tc>
        <w:tc>
          <w:tcPr>
            <w:tcW w:type="dxa" w:w="1234"/>
          </w:tcPr>
          <w:p>
            <w:r>
              <w:rPr>
                <w:rFonts w:ascii="Calibri" w:hAnsi="Calibri"/>
                <w:sz w:val="22"/>
              </w:rPr>
              <w:t>~Midpoint</w:t>
            </w:r>
          </w:p>
        </w:tc>
      </w:tr>
      <w:tr>
        <w:tc>
          <w:tcPr>
            <w:tcW w:type="dxa" w:w="1234"/>
          </w:tcPr>
          <w:p>
            <w:r>
              <w:rPr>
                <w:rFonts w:ascii="Calibri" w:hAnsi="Calibri"/>
                <w:sz w:val="22"/>
              </w:rPr>
              <w:t>Adj. EBITDA ($M)</w:t>
            </w:r>
          </w:p>
        </w:tc>
        <w:tc>
          <w:tcPr>
            <w:tcW w:type="dxa" w:w="1234"/>
          </w:tcPr>
          <w:p>
            <w:r>
              <w:rPr>
                <w:rFonts w:ascii="Calibri" w:hAnsi="Calibri"/>
                <w:sz w:val="22"/>
              </w:rPr>
              <w:t>$201.6M</w:t>
            </w:r>
          </w:p>
        </w:tc>
        <w:tc>
          <w:tcPr>
            <w:tcW w:type="dxa" w:w="1234"/>
          </w:tcPr>
          <w:p>
            <w:r>
              <w:rPr>
                <w:rFonts w:ascii="Calibri" w:hAnsi="Calibri"/>
                <w:sz w:val="22"/>
              </w:rPr>
              <w:t>$171.6M</w:t>
            </w:r>
          </w:p>
        </w:tc>
        <w:tc>
          <w:tcPr>
            <w:tcW w:type="dxa" w:w="1234"/>
          </w:tcPr>
          <w:p>
            <w:r>
              <w:rPr>
                <w:rFonts w:ascii="Calibri" w:hAnsi="Calibri"/>
                <w:sz w:val="22"/>
              </w:rPr>
              <w:t>$221.0M</w:t>
            </w:r>
          </w:p>
        </w:tc>
        <w:tc>
          <w:tcPr>
            <w:tcW w:type="dxa" w:w="1234"/>
          </w:tcPr>
          <w:p>
            <w:r>
              <w:rPr>
                <w:rFonts w:ascii="Calibri" w:hAnsi="Calibri"/>
                <w:sz w:val="22"/>
              </w:rPr>
              <w:t>+28.8%</w:t>
            </w:r>
          </w:p>
        </w:tc>
        <w:tc>
          <w:tcPr>
            <w:tcW w:type="dxa" w:w="1234"/>
          </w:tcPr>
          <w:p>
            <w:r>
              <w:rPr>
                <w:rFonts w:ascii="Calibri" w:hAnsi="Calibri"/>
                <w:sz w:val="22"/>
              </w:rPr>
              <w:t>25.5% margin (~$939M FY)</w:t>
            </w:r>
          </w:p>
        </w:tc>
        <w:tc>
          <w:tcPr>
            <w:tcW w:type="dxa" w:w="1234"/>
          </w:tcPr>
          <w:p>
            <w:r>
              <w:rPr>
                <w:rFonts w:ascii="Calibri" w:hAnsi="Calibri"/>
                <w:sz w:val="22"/>
              </w:rPr>
              <w:t>~Midpoint</w:t>
            </w:r>
          </w:p>
        </w:tc>
      </w:tr>
      <w:tr>
        <w:tc>
          <w:tcPr>
            <w:tcW w:type="dxa" w:w="1234"/>
          </w:tcPr>
          <w:p>
            <w:r>
              <w:rPr>
                <w:rFonts w:ascii="Calibri" w:hAnsi="Calibri"/>
                <w:sz w:val="22"/>
              </w:rPr>
              <w:t>Adj. EBITDA Margin</w:t>
            </w:r>
          </w:p>
        </w:tc>
        <w:tc>
          <w:tcPr>
            <w:tcW w:type="dxa" w:w="1234"/>
          </w:tcPr>
          <w:p>
            <w:r>
              <w:rPr>
                <w:rFonts w:ascii="Calibri" w:hAnsi="Calibri"/>
                <w:sz w:val="22"/>
              </w:rPr>
              <w:t>24.97%</w:t>
            </w:r>
          </w:p>
        </w:tc>
        <w:tc>
          <w:tcPr>
            <w:tcW w:type="dxa" w:w="1234"/>
          </w:tcPr>
          <w:p>
            <w:r>
              <w:rPr>
                <w:rFonts w:ascii="Calibri" w:hAnsi="Calibri"/>
                <w:sz w:val="22"/>
              </w:rPr>
              <w:t>25.67%</w:t>
            </w:r>
          </w:p>
        </w:tc>
        <w:tc>
          <w:tcPr>
            <w:tcW w:type="dxa" w:w="1234"/>
          </w:tcPr>
          <w:p>
            <w:r>
              <w:rPr>
                <w:rFonts w:ascii="Calibri" w:hAnsi="Calibri"/>
                <w:sz w:val="22"/>
              </w:rPr>
              <w:t>25.24%</w:t>
            </w:r>
          </w:p>
        </w:tc>
        <w:tc>
          <w:tcPr>
            <w:tcW w:type="dxa" w:w="1234"/>
          </w:tcPr>
          <w:p>
            <w:r>
              <w:rPr>
                <w:rFonts w:ascii="Calibri" w:hAnsi="Calibri"/>
                <w:sz w:val="22"/>
              </w:rPr>
              <w:t>-43 bps YoY</w:t>
            </w:r>
          </w:p>
        </w:tc>
        <w:tc>
          <w:tcPr>
            <w:tcW w:type="dxa" w:w="1234"/>
          </w:tcPr>
          <w:p>
            <w:r>
              <w:rPr>
                <w:rFonts w:ascii="Calibri" w:hAnsi="Calibri"/>
                <w:sz w:val="22"/>
              </w:rPr>
              <w:t>25.5% for FY 2026</w:t>
            </w:r>
          </w:p>
        </w:tc>
        <w:tc>
          <w:tcPr>
            <w:tcW w:type="dxa" w:w="1234"/>
          </w:tcPr>
          <w:p>
            <w:r>
              <w:rPr>
                <w:rFonts w:ascii="Calibri" w:hAnsi="Calibri"/>
                <w:sz w:val="22"/>
              </w:rPr>
              <w:t>~In line</w:t>
            </w:r>
          </w:p>
        </w:tc>
      </w:tr>
      <w:tr>
        <w:tc>
          <w:tcPr>
            <w:tcW w:type="dxa" w:w="1234"/>
          </w:tcPr>
          <w:p>
            <w:r>
              <w:rPr>
                <w:rFonts w:ascii="Calibri" w:hAnsi="Calibri"/>
                <w:sz w:val="22"/>
              </w:rPr>
              <w:t>Gross Margin (Adj.)</w:t>
            </w:r>
          </w:p>
        </w:tc>
        <w:tc>
          <w:tcPr>
            <w:tcW w:type="dxa" w:w="1234"/>
          </w:tcPr>
          <w:p>
            <w:r>
              <w:rPr>
                <w:rFonts w:ascii="Calibri" w:hAnsi="Calibri"/>
                <w:sz w:val="22"/>
              </w:rPr>
              <w:t>61.55%</w:t>
            </w:r>
          </w:p>
        </w:tc>
        <w:tc>
          <w:tcPr>
            <w:tcW w:type="dxa" w:w="1234"/>
          </w:tcPr>
          <w:p>
            <w:r>
              <w:rPr>
                <w:rFonts w:ascii="Calibri" w:hAnsi="Calibri"/>
                <w:sz w:val="22"/>
              </w:rPr>
              <w:t>63.27%</w:t>
            </w:r>
          </w:p>
        </w:tc>
        <w:tc>
          <w:tcPr>
            <w:tcW w:type="dxa" w:w="1234"/>
          </w:tcPr>
          <w:p>
            <w:r>
              <w:rPr>
                <w:rFonts w:ascii="Calibri" w:hAnsi="Calibri"/>
                <w:sz w:val="22"/>
              </w:rPr>
              <w:t>62.11%</w:t>
            </w:r>
          </w:p>
        </w:tc>
        <w:tc>
          <w:tcPr>
            <w:tcW w:type="dxa" w:w="1234"/>
          </w:tcPr>
          <w:p>
            <w:r>
              <w:rPr>
                <w:rFonts w:ascii="Calibri" w:hAnsi="Calibri"/>
                <w:sz w:val="22"/>
              </w:rPr>
              <w:t>-116 bps YoY</w:t>
            </w:r>
          </w:p>
        </w:tc>
        <w:tc>
          <w:tcPr>
            <w:tcW w:type="dxa" w:w="1234"/>
          </w:tcPr>
          <w:p>
            <w:r>
              <w:rPr>
                <w:rFonts w:ascii="Calibri" w:hAnsi="Calibri"/>
                <w:sz w:val="22"/>
              </w:rPr>
              <w:t>~62.1% (FY)</w:t>
            </w:r>
          </w:p>
        </w:tc>
        <w:tc>
          <w:tcPr>
            <w:tcW w:type="dxa" w:w="1234"/>
          </w:tcPr>
          <w:p>
            <w:r>
              <w:rPr>
                <w:rFonts w:ascii="Calibri" w:hAnsi="Calibri"/>
                <w:sz w:val="22"/>
              </w:rPr>
              <w:t>~In line</w:t>
            </w:r>
          </w:p>
        </w:tc>
      </w:tr>
      <w:tr>
        <w:tc>
          <w:tcPr>
            <w:tcW w:type="dxa" w:w="1234"/>
          </w:tcPr>
          <w:p>
            <w:r>
              <w:rPr>
                <w:rFonts w:ascii="Calibri" w:hAnsi="Calibri"/>
                <w:sz w:val="22"/>
              </w:rPr>
              <w:t>Software &amp; Sensor Revenue ($M)</w:t>
            </w:r>
          </w:p>
        </w:tc>
        <w:tc>
          <w:tcPr>
            <w:tcW w:type="dxa" w:w="1234"/>
          </w:tcPr>
          <w:p>
            <w:r>
              <w:rPr>
                <w:rFonts w:ascii="Calibri" w:hAnsi="Calibri"/>
                <w:sz w:val="22"/>
              </w:rPr>
              <w:t>$474.7M</w:t>
            </w:r>
          </w:p>
        </w:tc>
        <w:tc>
          <w:tcPr>
            <w:tcW w:type="dxa" w:w="1234"/>
          </w:tcPr>
          <w:p>
            <w:r>
              <w:rPr>
                <w:rFonts w:ascii="Calibri" w:hAnsi="Calibri"/>
                <w:sz w:val="22"/>
              </w:rPr>
              <w:t>$375.6M</w:t>
            </w:r>
          </w:p>
        </w:tc>
        <w:tc>
          <w:tcPr>
            <w:tcW w:type="dxa" w:w="1234"/>
          </w:tcPr>
          <w:p>
            <w:r>
              <w:rPr>
                <w:rFonts w:ascii="Calibri" w:hAnsi="Calibri"/>
                <w:sz w:val="22"/>
              </w:rPr>
              <w:t>$507.6M</w:t>
            </w:r>
          </w:p>
        </w:tc>
        <w:tc>
          <w:tcPr>
            <w:tcW w:type="dxa" w:w="1234"/>
          </w:tcPr>
          <w:p>
            <w:r>
              <w:rPr>
                <w:rFonts w:ascii="Calibri" w:hAnsi="Calibri"/>
                <w:sz w:val="22"/>
              </w:rPr>
              <w:t>+35.1%</w:t>
            </w:r>
          </w:p>
        </w:tc>
        <w:tc>
          <w:tcPr>
            <w:tcW w:type="dxa" w:w="1234"/>
          </w:tcPr>
          <w:p>
            <w:r>
              <w:rPr>
                <w:rFonts w:ascii="Calibri" w:hAnsi="Calibri"/>
                <w:sz w:val="22"/>
              </w:rPr>
              <w:t>~$2.09B (FY)</w:t>
            </w:r>
          </w:p>
        </w:tc>
        <w:tc>
          <w:tcPr>
            <w:tcW w:type="dxa" w:w="1234"/>
          </w:tcPr>
          <w:p>
            <w:r>
              <w:rPr>
                <w:rFonts w:ascii="Calibri" w:hAnsi="Calibri"/>
                <w:sz w:val="22"/>
              </w:rPr>
              <w:t>N/A (segment)</w:t>
            </w:r>
          </w:p>
        </w:tc>
      </w:tr>
      <w:tr>
        <w:tc>
          <w:tcPr>
            <w:tcW w:type="dxa" w:w="1234"/>
          </w:tcPr>
          <w:p>
            <w:r>
              <w:rPr>
                <w:rFonts w:ascii="Calibri" w:hAnsi="Calibri"/>
                <w:sz w:val="22"/>
              </w:rPr>
              <w:t>TASER Weapons Revenue ($M)</w:t>
            </w:r>
          </w:p>
        </w:tc>
        <w:tc>
          <w:tcPr>
            <w:tcW w:type="dxa" w:w="1234"/>
          </w:tcPr>
          <w:p>
            <w:r>
              <w:rPr>
                <w:rFonts w:ascii="Calibri" w:hAnsi="Calibri"/>
                <w:sz w:val="22"/>
              </w:rPr>
              <w:t>$354.5M</w:t>
            </w:r>
          </w:p>
        </w:tc>
        <w:tc>
          <w:tcPr>
            <w:tcW w:type="dxa" w:w="1234"/>
          </w:tcPr>
          <w:p>
            <w:r>
              <w:rPr>
                <w:rFonts w:ascii="Calibri" w:hAnsi="Calibri"/>
                <w:sz w:val="22"/>
              </w:rPr>
              <w:t>$292.2M</w:t>
            </w:r>
          </w:p>
        </w:tc>
        <w:tc>
          <w:tcPr>
            <w:tcW w:type="dxa" w:w="1234"/>
          </w:tcPr>
          <w:p>
            <w:r>
              <w:rPr>
                <w:rFonts w:ascii="Calibri" w:hAnsi="Calibri"/>
                <w:sz w:val="22"/>
              </w:rPr>
              <w:t>$273.6M</w:t>
            </w:r>
          </w:p>
        </w:tc>
        <w:tc>
          <w:tcPr>
            <w:tcW w:type="dxa" w:w="1234"/>
          </w:tcPr>
          <w:p>
            <w:r>
              <w:rPr>
                <w:rFonts w:ascii="Calibri" w:hAnsi="Calibri"/>
                <w:sz w:val="22"/>
              </w:rPr>
              <w:t>-6.4%</w:t>
            </w:r>
          </w:p>
        </w:tc>
        <w:tc>
          <w:tcPr>
            <w:tcW w:type="dxa" w:w="1234"/>
          </w:tcPr>
          <w:p>
            <w:r>
              <w:rPr>
                <w:rFonts w:ascii="Calibri" w:hAnsi="Calibri"/>
                <w:sz w:val="22"/>
              </w:rPr>
              <w:t>~$1.14B (FY)</w:t>
            </w:r>
          </w:p>
        </w:tc>
        <w:tc>
          <w:tcPr>
            <w:tcW w:type="dxa" w:w="1234"/>
          </w:tcPr>
          <w:p>
            <w:r>
              <w:rPr>
                <w:rFonts w:ascii="Calibri" w:hAnsi="Calibri"/>
                <w:sz w:val="22"/>
              </w:rPr>
              <w:t>N/A (segment)</w:t>
            </w:r>
          </w:p>
        </w:tc>
      </w:tr>
      <w:tr>
        <w:tc>
          <w:tcPr>
            <w:tcW w:type="dxa" w:w="1234"/>
          </w:tcPr>
          <w:p>
            <w:r>
              <w:rPr>
                <w:rFonts w:ascii="Calibri" w:hAnsi="Calibri"/>
                <w:sz w:val="22"/>
              </w:rPr>
              <w:t>Future Contracted Bookings / RPO ($B)</w:t>
            </w:r>
          </w:p>
        </w:tc>
        <w:tc>
          <w:tcPr>
            <w:tcW w:type="dxa" w:w="1234"/>
          </w:tcPr>
          <w:p>
            <w:r>
              <w:rPr>
                <w:rFonts w:ascii="Calibri" w:hAnsi="Calibri"/>
                <w:sz w:val="22"/>
              </w:rPr>
              <w:t>$14.3B</w:t>
            </w:r>
          </w:p>
        </w:tc>
        <w:tc>
          <w:tcPr>
            <w:tcW w:type="dxa" w:w="1234"/>
          </w:tcPr>
          <w:p>
            <w:r>
              <w:rPr>
                <w:rFonts w:ascii="Calibri" w:hAnsi="Calibri"/>
                <w:sz w:val="22"/>
              </w:rPr>
              <w:t>$10.7B</w:t>
            </w:r>
          </w:p>
        </w:tc>
        <w:tc>
          <w:tcPr>
            <w:tcW w:type="dxa" w:w="1234"/>
          </w:tcPr>
          <w:p>
            <w:r>
              <w:rPr>
                <w:rFonts w:ascii="Calibri" w:hAnsi="Calibri"/>
                <w:sz w:val="22"/>
              </w:rPr>
              <w:t>$14.4B</w:t>
            </w:r>
          </w:p>
        </w:tc>
        <w:tc>
          <w:tcPr>
            <w:tcW w:type="dxa" w:w="1234"/>
          </w:tcPr>
          <w:p>
            <w:r>
              <w:rPr>
                <w:rFonts w:ascii="Calibri" w:hAnsi="Calibri"/>
                <w:sz w:val="22"/>
              </w:rPr>
              <w:t>+34.6%</w:t>
            </w:r>
          </w:p>
        </w:tc>
        <w:tc>
          <w:tcPr>
            <w:tcW w:type="dxa" w:w="1234"/>
          </w:tcPr>
          <w:p>
            <w:r>
              <w:rPr>
                <w:rFonts w:ascii="Calibri" w:hAnsi="Calibri"/>
                <w:sz w:val="22"/>
              </w:rPr>
              <w:t>~$18.5B (FY)</w:t>
            </w:r>
          </w:p>
        </w:tc>
        <w:tc>
          <w:tcPr>
            <w:tcW w:type="dxa" w:w="1234"/>
          </w:tcPr>
          <w:p>
            <w:r>
              <w:rPr>
                <w:rFonts w:ascii="Calibri" w:hAnsi="Calibri"/>
                <w:sz w:val="22"/>
              </w:rPr>
              <w:t>N/A (bookings metric)</w:t>
            </w:r>
          </w:p>
        </w:tc>
      </w:tr>
      <w:tr>
        <w:tc>
          <w:tcPr>
            <w:tcW w:type="dxa" w:w="1234"/>
          </w:tcPr>
          <w:p>
            <w:r>
              <w:rPr>
                <w:rFonts w:ascii="Calibri" w:hAnsi="Calibri"/>
                <w:sz w:val="22"/>
              </w:rPr>
              <w:t>Free Cash Flow ($M)</w:t>
            </w:r>
          </w:p>
        </w:tc>
        <w:tc>
          <w:tcPr>
            <w:tcW w:type="dxa" w:w="1234"/>
          </w:tcPr>
          <w:p>
            <w:r>
              <w:rPr>
                <w:rFonts w:ascii="Calibri" w:hAnsi="Calibri"/>
                <w:sz w:val="22"/>
              </w:rPr>
              <w:t>-$54.6M</w:t>
            </w:r>
          </w:p>
        </w:tc>
        <w:tc>
          <w:tcPr>
            <w:tcW w:type="dxa" w:w="1234"/>
          </w:tcPr>
          <w:p>
            <w:r>
              <w:rPr>
                <w:rFonts w:ascii="Calibri" w:hAnsi="Calibri"/>
                <w:sz w:val="22"/>
              </w:rPr>
              <w:t>-$114.7M</w:t>
            </w:r>
          </w:p>
        </w:tc>
        <w:tc>
          <w:tcPr>
            <w:tcW w:type="dxa" w:w="1234"/>
          </w:tcPr>
          <w:p>
            <w:r>
              <w:rPr>
                <w:rFonts w:ascii="Calibri" w:hAnsi="Calibri"/>
                <w:sz w:val="22"/>
              </w:rPr>
              <w:t>$99.1M</w:t>
            </w:r>
          </w:p>
        </w:tc>
        <w:tc>
          <w:tcPr>
            <w:tcW w:type="dxa" w:w="1234"/>
          </w:tcPr>
          <w:p>
            <w:r>
              <w:rPr>
                <w:rFonts w:ascii="Calibri" w:hAnsi="Calibri"/>
                <w:sz w:val="22"/>
              </w:rPr>
              <w:t>N/M</w:t>
            </w:r>
          </w:p>
        </w:tc>
        <w:tc>
          <w:tcPr>
            <w:tcW w:type="dxa" w:w="1234"/>
          </w:tcPr>
          <w:p>
            <w:r>
              <w:rPr>
                <w:rFonts w:ascii="Calibri" w:hAnsi="Calibri"/>
                <w:sz w:val="22"/>
              </w:rPr>
              <w:t>~$450M (FY guide)</w:t>
            </w:r>
          </w:p>
        </w:tc>
        <w:tc>
          <w:tcPr>
            <w:tcW w:type="dxa" w:w="1234"/>
          </w:tcPr>
          <w:p>
            <w:r>
              <w:rPr>
                <w:rFonts w:ascii="Calibri" w:hAnsi="Calibri"/>
                <w:sz w:val="22"/>
              </w:rPr>
              <w:t>~$420M FY cons. vs $450M guide</w:t>
            </w:r>
          </w:p>
        </w:tc>
      </w:tr>
    </w:tbl>
    <w:p>
      <w:r>
        <w:rPr>
          <w:rFonts w:ascii="Calibri" w:hAnsi="Calibri"/>
          <w:i/>
          <w:color w:val="525866"/>
          <w:sz w:val="22"/>
        </w:rPr>
        <w:t>Sources: Visible Alpha Consensus and Actuals Data. Q2 2026 consensus as of August 4, 2026. Note: TASER Weapons revenue consensus of $273.6M implies a YoY decline vs. Q2 2025's $292.2M, reflecting the lumpiness of large TASER deals and the mix shift toward software; this is not a demand concern given Q1 2026 TASER revenue of $354.5M was exceptionally strong. Adj. EPS YoY decline reflects higher share count and investment spending, not operational deterioration.</w:t>
      </w:r>
    </w:p>
    <w:p>
      <w:pPr>
        <w:pStyle w:val="Heading3"/>
      </w:pPr>
      <w:r>
        <w:rPr>
          <w:rFonts w:ascii="Calibri" w:hAnsi="Calibri"/>
          <w:b/>
          <w:color w:val="3B4259"/>
          <w:sz w:val="24"/>
        </w:rPr>
        <w:t>Table 2 — Beat/Miss History (Last 8 Quarters, Top 2 KPIs: Revenue &amp; ARR)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$807.3M</w:t>
            </w:r>
          </w:p>
        </w:tc>
        <w:tc>
          <w:tcPr>
            <w:tcW w:type="dxa" w:w="1440"/>
          </w:tcPr>
          <w:p>
            <w:r>
              <w:rPr>
                <w:rFonts w:ascii="Calibri" w:hAnsi="Calibri"/>
                <w:sz w:val="22"/>
              </w:rPr>
              <w:t>$778.6M</w:t>
            </w:r>
          </w:p>
        </w:tc>
        <w:tc>
          <w:tcPr>
            <w:tcW w:type="dxa" w:w="1440"/>
          </w:tcPr>
          <w:p>
            <w:r>
              <w:rPr>
                <w:rFonts w:ascii="Calibri" w:hAnsi="Calibri"/>
                <w:b/>
                <w:color w:val="30A46C"/>
                <w:sz w:val="22"/>
              </w:rPr>
              <w:t>+3.7%</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ARR</w:t>
            </w:r>
          </w:p>
        </w:tc>
        <w:tc>
          <w:tcPr>
            <w:tcW w:type="dxa" w:w="1440"/>
          </w:tcPr>
          <w:p>
            <w:r>
              <w:rPr>
                <w:rFonts w:ascii="Calibri" w:hAnsi="Calibri"/>
                <w:sz w:val="22"/>
              </w:rPr>
              <w:t>$1.493B</w:t>
            </w:r>
          </w:p>
        </w:tc>
        <w:tc>
          <w:tcPr>
            <w:tcW w:type="dxa" w:w="1440"/>
          </w:tcPr>
          <w:p>
            <w:r>
              <w:rPr>
                <w:rFonts w:ascii="Calibri" w:hAnsi="Calibri"/>
                <w:sz w:val="22"/>
              </w:rPr>
              <w:t>$1.437B</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$796.7M</w:t>
            </w:r>
          </w:p>
        </w:tc>
        <w:tc>
          <w:tcPr>
            <w:tcW w:type="dxa" w:w="1440"/>
          </w:tcPr>
          <w:p>
            <w:r>
              <w:rPr>
                <w:rFonts w:ascii="Calibri" w:hAnsi="Calibri"/>
                <w:sz w:val="22"/>
              </w:rPr>
              <w:t>$756.2M</w:t>
            </w:r>
          </w:p>
        </w:tc>
        <w:tc>
          <w:tcPr>
            <w:tcW w:type="dxa" w:w="1440"/>
          </w:tcPr>
          <w:p>
            <w:r>
              <w:rPr>
                <w:rFonts w:ascii="Calibri" w:hAnsi="Calibri"/>
                <w:b/>
                <w:color w:val="30A46C"/>
                <w:sz w:val="22"/>
              </w:rPr>
              <w:t>+5.4%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ARR</w:t>
            </w:r>
          </w:p>
        </w:tc>
        <w:tc>
          <w:tcPr>
            <w:tcW w:type="dxa" w:w="1440"/>
          </w:tcPr>
          <w:p>
            <w:r>
              <w:rPr>
                <w:rFonts w:ascii="Calibri" w:hAnsi="Calibri"/>
                <w:sz w:val="22"/>
              </w:rPr>
              <w:t>$1.347B</w:t>
            </w:r>
          </w:p>
        </w:tc>
        <w:tc>
          <w:tcPr>
            <w:tcW w:type="dxa" w:w="1440"/>
          </w:tcPr>
          <w:p>
            <w:r>
              <w:rPr>
                <w:rFonts w:ascii="Calibri" w:hAnsi="Calibri"/>
                <w:sz w:val="22"/>
              </w:rPr>
              <w:t>$1.338B</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$710.6M</w:t>
            </w:r>
          </w:p>
        </w:tc>
        <w:tc>
          <w:tcPr>
            <w:tcW w:type="dxa" w:w="1440"/>
          </w:tcPr>
          <w:p>
            <w:r>
              <w:rPr>
                <w:rFonts w:ascii="Calibri" w:hAnsi="Calibri"/>
                <w:sz w:val="22"/>
              </w:rPr>
              <w:t>$705.2M</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ARR</w:t>
            </w:r>
          </w:p>
        </w:tc>
        <w:tc>
          <w:tcPr>
            <w:tcW w:type="dxa" w:w="1440"/>
          </w:tcPr>
          <w:p>
            <w:r>
              <w:rPr>
                <w:rFonts w:ascii="Calibri" w:hAnsi="Calibri"/>
                <w:sz w:val="22"/>
              </w:rPr>
              <w:t>$1.252B</w:t>
            </w:r>
          </w:p>
        </w:tc>
        <w:tc>
          <w:tcPr>
            <w:tcW w:type="dxa" w:w="1440"/>
          </w:tcPr>
          <w:p>
            <w:r>
              <w:rPr>
                <w:rFonts w:ascii="Calibri" w:hAnsi="Calibri"/>
                <w:sz w:val="22"/>
              </w:rPr>
              <w:t>$1.224B</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$668.5M</w:t>
            </w:r>
          </w:p>
        </w:tc>
        <w:tc>
          <w:tcPr>
            <w:tcW w:type="dxa" w:w="1440"/>
          </w:tcPr>
          <w:p>
            <w:r>
              <w:rPr>
                <w:rFonts w:ascii="Calibri" w:hAnsi="Calibri"/>
                <w:sz w:val="22"/>
              </w:rPr>
              <w:t>$641.0M</w:t>
            </w:r>
          </w:p>
        </w:tc>
        <w:tc>
          <w:tcPr>
            <w:tcW w:type="dxa" w:w="1440"/>
          </w:tcPr>
          <w:p>
            <w:r>
              <w:rPr>
                <w:rFonts w:ascii="Calibri" w:hAnsi="Calibri"/>
                <w:b/>
                <w:color w:val="30A46C"/>
                <w:sz w:val="22"/>
              </w:rPr>
              <w:t>+4.3%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ARR</w:t>
            </w:r>
          </w:p>
        </w:tc>
        <w:tc>
          <w:tcPr>
            <w:tcW w:type="dxa" w:w="1440"/>
          </w:tcPr>
          <w:p>
            <w:r>
              <w:rPr>
                <w:rFonts w:ascii="Calibri" w:hAnsi="Calibri"/>
                <w:sz w:val="22"/>
              </w:rPr>
              <w:t>$1.183B</w:t>
            </w:r>
          </w:p>
        </w:tc>
        <w:tc>
          <w:tcPr>
            <w:tcW w:type="dxa" w:w="1440"/>
          </w:tcPr>
          <w:p>
            <w:r>
              <w:rPr>
                <w:rFonts w:ascii="Calibri" w:hAnsi="Calibri"/>
                <w:sz w:val="22"/>
              </w:rPr>
              <w:t>$1.140B</w:t>
            </w:r>
          </w:p>
        </w:tc>
        <w:tc>
          <w:tcPr>
            <w:tcW w:type="dxa" w:w="1440"/>
          </w:tcPr>
          <w:p>
            <w:r>
              <w:rPr>
                <w:rFonts w:ascii="Calibri" w:hAnsi="Calibri"/>
                <w:b/>
                <w:color w:val="30A46C"/>
                <w:sz w:val="22"/>
              </w:rPr>
              <w:t>+3.8%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$603.6M</w:t>
            </w:r>
          </w:p>
        </w:tc>
        <w:tc>
          <w:tcPr>
            <w:tcW w:type="dxa" w:w="1440"/>
          </w:tcPr>
          <w:p>
            <w:r>
              <w:rPr>
                <w:rFonts w:ascii="Calibri" w:hAnsi="Calibri"/>
                <w:sz w:val="22"/>
              </w:rPr>
              <w:t>$587.0M</w:t>
            </w:r>
          </w:p>
        </w:tc>
        <w:tc>
          <w:tcPr>
            <w:tcW w:type="dxa" w:w="1440"/>
          </w:tcPr>
          <w:p>
            <w:r>
              <w:rPr>
                <w:rFonts w:ascii="Calibri" w:hAnsi="Calibri"/>
                <w:b/>
                <w:color w:val="30A46C"/>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ARR</w:t>
            </w:r>
          </w:p>
        </w:tc>
        <w:tc>
          <w:tcPr>
            <w:tcW w:type="dxa" w:w="1440"/>
          </w:tcPr>
          <w:p>
            <w:r>
              <w:rPr>
                <w:rFonts w:ascii="Calibri" w:hAnsi="Calibri"/>
                <w:sz w:val="22"/>
              </w:rPr>
              <w:t>$1.104B</w:t>
            </w:r>
          </w:p>
        </w:tc>
        <w:tc>
          <w:tcPr>
            <w:tcW w:type="dxa" w:w="1440"/>
          </w:tcPr>
          <w:p>
            <w:r>
              <w:rPr>
                <w:rFonts w:ascii="Calibri" w:hAnsi="Calibri"/>
                <w:sz w:val="22"/>
              </w:rPr>
              <w:t>$1.041B</w:t>
            </w:r>
          </w:p>
        </w:tc>
        <w:tc>
          <w:tcPr>
            <w:tcW w:type="dxa" w:w="1440"/>
          </w:tcPr>
          <w:p>
            <w:r>
              <w:rPr>
                <w:rFonts w:ascii="Calibri" w:hAnsi="Calibri"/>
                <w:b/>
                <w:color w:val="30A46C"/>
                <w:sz w:val="22"/>
              </w:rPr>
              <w:t>+6.1%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$575.1M</w:t>
            </w:r>
          </w:p>
        </w:tc>
        <w:tc>
          <w:tcPr>
            <w:tcW w:type="dxa" w:w="1440"/>
          </w:tcPr>
          <w:p>
            <w:r>
              <w:rPr>
                <w:rFonts w:ascii="Calibri" w:hAnsi="Calibri"/>
                <w:sz w:val="22"/>
              </w:rPr>
              <w:t>$566.7M</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ARR</w:t>
            </w:r>
          </w:p>
        </w:tc>
        <w:tc>
          <w:tcPr>
            <w:tcW w:type="dxa" w:w="1440"/>
          </w:tcPr>
          <w:p>
            <w:r>
              <w:rPr>
                <w:rFonts w:ascii="Calibri" w:hAnsi="Calibri"/>
                <w:sz w:val="22"/>
              </w:rPr>
              <w:t>$1.001B</w:t>
            </w:r>
          </w:p>
        </w:tc>
        <w:tc>
          <w:tcPr>
            <w:tcW w:type="dxa" w:w="1440"/>
          </w:tcPr>
          <w:p>
            <w:r>
              <w:rPr>
                <w:rFonts w:ascii="Calibri" w:hAnsi="Calibri"/>
                <w:sz w:val="22"/>
              </w:rPr>
              <w:t>$943.6M</w:t>
            </w:r>
          </w:p>
        </w:tc>
        <w:tc>
          <w:tcPr>
            <w:tcW w:type="dxa" w:w="1440"/>
          </w:tcPr>
          <w:p>
            <w:r>
              <w:rPr>
                <w:rFonts w:ascii="Calibri" w:hAnsi="Calibri"/>
                <w:b/>
                <w:color w:val="30A46C"/>
                <w:sz w:val="22"/>
              </w:rPr>
              <w:t>+6.1%</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$544.3M</w:t>
            </w:r>
          </w:p>
        </w:tc>
        <w:tc>
          <w:tcPr>
            <w:tcW w:type="dxa" w:w="1440"/>
          </w:tcPr>
          <w:p>
            <w:r>
              <w:rPr>
                <w:rFonts w:ascii="Calibri" w:hAnsi="Calibri"/>
                <w:sz w:val="22"/>
              </w:rPr>
              <w:t>$525.2M</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ARR</w:t>
            </w:r>
          </w:p>
        </w:tc>
        <w:tc>
          <w:tcPr>
            <w:tcW w:type="dxa" w:w="1440"/>
          </w:tcPr>
          <w:p>
            <w:r>
              <w:rPr>
                <w:rFonts w:ascii="Calibri" w:hAnsi="Calibri"/>
                <w:sz w:val="22"/>
              </w:rPr>
              <w:t>$885M</w:t>
            </w:r>
          </w:p>
        </w:tc>
        <w:tc>
          <w:tcPr>
            <w:tcW w:type="dxa" w:w="1440"/>
          </w:tcPr>
          <w:p>
            <w:r>
              <w:rPr>
                <w:rFonts w:ascii="Calibri" w:hAnsi="Calibri"/>
                <w:sz w:val="22"/>
              </w:rPr>
              <w:t>$897.3M</w:t>
            </w:r>
          </w:p>
        </w:tc>
        <w:tc>
          <w:tcPr>
            <w:tcW w:type="dxa" w:w="1440"/>
          </w:tcPr>
          <w:p>
            <w:r>
              <w:rPr>
                <w:rFonts w:ascii="Calibri" w:hAnsi="Calibri"/>
                <w:b/>
                <w:color w:val="E5484D"/>
                <w:sz w:val="22"/>
              </w:rPr>
              <w:t>-1.4%</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$503.2M</w:t>
            </w:r>
          </w:p>
        </w:tc>
        <w:tc>
          <w:tcPr>
            <w:tcW w:type="dxa" w:w="1440"/>
          </w:tcPr>
          <w:p>
            <w:r>
              <w:rPr>
                <w:rFonts w:ascii="Calibri" w:hAnsi="Calibri"/>
                <w:sz w:val="22"/>
              </w:rPr>
              <w:t>$478.2M</w:t>
            </w:r>
          </w:p>
        </w:tc>
        <w:tc>
          <w:tcPr>
            <w:tcW w:type="dxa" w:w="1440"/>
          </w:tcPr>
          <w:p>
            <w:r>
              <w:rPr>
                <w:rFonts w:ascii="Calibri" w:hAnsi="Calibri"/>
                <w:b/>
                <w:color w:val="30A46C"/>
                <w:sz w:val="22"/>
              </w:rPr>
              <w:t>+5.2%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ARR</w:t>
            </w:r>
          </w:p>
        </w:tc>
        <w:tc>
          <w:tcPr>
            <w:tcW w:type="dxa" w:w="1440"/>
          </w:tcPr>
          <w:p>
            <w:r>
              <w:rPr>
                <w:rFonts w:ascii="Calibri" w:hAnsi="Calibri"/>
                <w:sz w:val="22"/>
              </w:rPr>
              <w:t>$850M</w:t>
            </w:r>
          </w:p>
        </w:tc>
        <w:tc>
          <w:tcPr>
            <w:tcW w:type="dxa" w:w="1440"/>
          </w:tcPr>
          <w:p>
            <w:r>
              <w:rPr>
                <w:rFonts w:ascii="Calibri" w:hAnsi="Calibri"/>
                <w:sz w:val="22"/>
              </w:rPr>
              <w:t>$859.8M</w:t>
            </w:r>
          </w:p>
        </w:tc>
        <w:tc>
          <w:tcPr>
            <w:tcW w:type="dxa" w:w="1440"/>
          </w:tcPr>
          <w:p>
            <w:r>
              <w:rPr>
                <w:rFonts w:ascii="Calibri" w:hAnsi="Calibri"/>
                <w:b/>
                <w:color w:val="E5484D"/>
                <w:sz w:val="22"/>
              </w:rPr>
              <w:t>-1.1%</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AXON has beaten revenue consensus in 8 of the last 8 quarters with an average surprise of ~3.4%; ARR has beaten in 6 of 8 quarters, with the two misses (Q2 and Q3 2024) both minor and followed by strong re-acceleration. The consistent revenue beat pattern sets a high bar for the stock to react positively on a mere in-line print — the market will likely need a beat plus raised guidance to drive further upside from current elevated levels.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revenue guidance at Q1 earnings (to 30–32% from 27–30%) and held EBITDA margin guidance at 25.5% — no post-earnings guidance revisions have been issued since May 6, so the Q1 call remains the baseline; tone has been consistently bullish with no signs of caution.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 Growth</w:t>
            </w:r>
          </w:p>
        </w:tc>
        <w:tc>
          <w:tcPr>
            <w:tcW w:type="dxa" w:w="1728"/>
          </w:tcPr>
          <w:p>
            <w:r>
              <w:rPr>
                <w:rFonts w:ascii="Calibri" w:hAnsi="Calibri"/>
                <w:sz w:val="22"/>
              </w:rPr>
              <w:t>30–32% YoY (raised from prior 27–30%)</w:t>
            </w:r>
          </w:p>
        </w:tc>
        <w:tc>
          <w:tcPr>
            <w:tcW w:type="dxa" w:w="1728"/>
          </w:tcPr>
          <w:p>
            <w:r>
              <w:rPr>
                <w:rFonts w:ascii="Calibri" w:hAnsi="Calibri"/>
                <w:sz w:val="22"/>
              </w:rPr>
              <w:t>—</w:t>
            </w:r>
          </w:p>
        </w:tc>
        <w:tc>
          <w:tcPr>
            <w:tcW w:type="dxa" w:w="1728"/>
          </w:tcPr>
          <w:p>
            <w:r>
              <w:rPr>
                <w:rFonts w:ascii="Calibri" w:hAnsi="Calibri"/>
                <w:sz w:val="22"/>
              </w:rPr>
              <w:t>~$3.67B (+30.0% YoY)</w:t>
            </w:r>
          </w:p>
        </w:tc>
        <w:tc>
          <w:tcPr>
            <w:tcW w:type="dxa" w:w="1728"/>
          </w:tcPr>
          <w:p>
            <w:r>
              <w:rPr>
                <w:rFonts w:ascii="Calibri" w:hAnsi="Calibri"/>
                <w:sz w:val="22"/>
              </w:rPr>
              <w:t>Raised at Q1 earnings; no post-earnings revision. Consensus at low end of guidance range.</w:t>
            </w:r>
          </w:p>
        </w:tc>
      </w:tr>
      <w:tr>
        <w:tc>
          <w:tcPr>
            <w:tcW w:type="dxa" w:w="1728"/>
          </w:tcPr>
          <w:p>
            <w:r>
              <w:rPr>
                <w:rFonts w:ascii="Calibri" w:hAnsi="Calibri"/>
                <w:sz w:val="22"/>
              </w:rPr>
              <w:t>FY 2026 Adj. EBITDA Margin</w:t>
            </w:r>
          </w:p>
        </w:tc>
        <w:tc>
          <w:tcPr>
            <w:tcW w:type="dxa" w:w="1728"/>
          </w:tcPr>
          <w:p>
            <w:r>
              <w:rPr>
                <w:rFonts w:ascii="Calibri" w:hAnsi="Calibri"/>
                <w:sz w:val="22"/>
              </w:rPr>
              <w:t>25.5% (unchanged from prior guidance)</w:t>
            </w:r>
          </w:p>
        </w:tc>
        <w:tc>
          <w:tcPr>
            <w:tcW w:type="dxa" w:w="1728"/>
          </w:tcPr>
          <w:p>
            <w:r>
              <w:rPr>
                <w:rFonts w:ascii="Calibri" w:hAnsi="Calibri"/>
                <w:sz w:val="22"/>
              </w:rPr>
              <w:t>—</w:t>
            </w:r>
          </w:p>
        </w:tc>
        <w:tc>
          <w:tcPr>
            <w:tcW w:type="dxa" w:w="1728"/>
          </w:tcPr>
          <w:p>
            <w:r>
              <w:rPr>
                <w:rFonts w:ascii="Calibri" w:hAnsi="Calibri"/>
                <w:sz w:val="22"/>
              </w:rPr>
              <w:t>~25.6%</w:t>
            </w:r>
          </w:p>
        </w:tc>
        <w:tc>
          <w:tcPr>
            <w:tcW w:type="dxa" w:w="1728"/>
          </w:tcPr>
          <w:p>
            <w:r>
              <w:rPr>
                <w:rFonts w:ascii="Calibri" w:hAnsi="Calibri"/>
                <w:sz w:val="22"/>
              </w:rPr>
              <w:t>Held steady despite revenue raise; H2 operating leverage expected to offset H1 investment spending.</w:t>
            </w:r>
          </w:p>
        </w:tc>
      </w:tr>
      <w:tr>
        <w:tc>
          <w:tcPr>
            <w:tcW w:type="dxa" w:w="1728"/>
          </w:tcPr>
          <w:p>
            <w:r>
              <w:rPr>
                <w:rFonts w:ascii="Calibri" w:hAnsi="Calibri"/>
                <w:sz w:val="22"/>
              </w:rPr>
              <w:t>FY 2026 Free Cash Flow</w:t>
            </w:r>
          </w:p>
        </w:tc>
        <w:tc>
          <w:tcPr>
            <w:tcW w:type="dxa" w:w="1728"/>
          </w:tcPr>
          <w:p>
            <w:r>
              <w:rPr>
                <w:rFonts w:ascii="Calibri" w:hAnsi="Calibri"/>
                <w:sz w:val="22"/>
              </w:rPr>
              <w:t>~$450M (new disclosure at Q1 earnings)</w:t>
            </w:r>
          </w:p>
        </w:tc>
        <w:tc>
          <w:tcPr>
            <w:tcW w:type="dxa" w:w="1728"/>
          </w:tcPr>
          <w:p>
            <w:r>
              <w:rPr>
                <w:rFonts w:ascii="Calibri" w:hAnsi="Calibri"/>
                <w:sz w:val="22"/>
              </w:rPr>
              <w:t>—</w:t>
            </w:r>
          </w:p>
        </w:tc>
        <w:tc>
          <w:tcPr>
            <w:tcW w:type="dxa" w:w="1728"/>
          </w:tcPr>
          <w:p>
            <w:r>
              <w:rPr>
                <w:rFonts w:ascii="Calibri" w:hAnsi="Calibri"/>
                <w:sz w:val="22"/>
              </w:rPr>
              <w:t>~$420M</w:t>
            </w:r>
          </w:p>
        </w:tc>
        <w:tc>
          <w:tcPr>
            <w:tcW w:type="dxa" w:w="1728"/>
          </w:tcPr>
          <w:p>
            <w:r>
              <w:rPr>
                <w:rFonts w:ascii="Calibri" w:hAnsi="Calibri"/>
                <w:sz w:val="22"/>
              </w:rPr>
              <w:t>First-ever FCF guidance; consensus ~$30M below guide, suggesting street skepticism on inventory normalization.</w:t>
            </w:r>
          </w:p>
        </w:tc>
      </w:tr>
      <w:tr>
        <w:tc>
          <w:tcPr>
            <w:tcW w:type="dxa" w:w="1728"/>
          </w:tcPr>
          <w:p>
            <w:r>
              <w:rPr>
                <w:rFonts w:ascii="Calibri" w:hAnsi="Calibri"/>
                <w:sz w:val="22"/>
              </w:rPr>
              <w:t>ARR (FY 2026 Exit)</w:t>
            </w:r>
          </w:p>
        </w:tc>
        <w:tc>
          <w:tcPr>
            <w:tcW w:type="dxa" w:w="1728"/>
          </w:tcPr>
          <w:p>
            <w:r>
              <w:rPr>
                <w:rFonts w:ascii="Calibri" w:hAnsi="Calibri"/>
                <w:sz w:val="22"/>
              </w:rPr>
              <w:t>~$1.80B implied (35%+ YoY growth trajectory)</w:t>
            </w:r>
          </w:p>
        </w:tc>
        <w:tc>
          <w:tcPr>
            <w:tcW w:type="dxa" w:w="1728"/>
          </w:tcPr>
          <w:p>
            <w:r>
              <w:rPr>
                <w:rFonts w:ascii="Calibri" w:hAnsi="Calibri"/>
                <w:sz w:val="22"/>
              </w:rPr>
              <w:t>—</w:t>
            </w:r>
          </w:p>
        </w:tc>
        <w:tc>
          <w:tcPr>
            <w:tcW w:type="dxa" w:w="1728"/>
          </w:tcPr>
          <w:p>
            <w:r>
              <w:rPr>
                <w:rFonts w:ascii="Calibri" w:hAnsi="Calibri"/>
                <w:sz w:val="22"/>
              </w:rPr>
              <w:t>~$1.80B</w:t>
            </w:r>
          </w:p>
        </w:tc>
        <w:tc>
          <w:tcPr>
            <w:tcW w:type="dxa" w:w="1728"/>
          </w:tcPr>
          <w:p>
            <w:r>
              <w:rPr>
                <w:rFonts w:ascii="Calibri" w:hAnsi="Calibri"/>
                <w:sz w:val="22"/>
              </w:rPr>
              <w:t>Consensus aligned with management trajectory; Q2 step-up to ~$1.59B is the key near-term test.</w:t>
            </w:r>
          </w:p>
        </w:tc>
      </w:tr>
      <w:tr>
        <w:tc>
          <w:tcPr>
            <w:tcW w:type="dxa" w:w="1728"/>
          </w:tcPr>
          <w:p>
            <w:r>
              <w:rPr>
                <w:rFonts w:ascii="Calibri" w:hAnsi="Calibri"/>
                <w:sz w:val="22"/>
              </w:rPr>
              <w:t>Bookings Growth</w:t>
            </w:r>
          </w:p>
        </w:tc>
        <w:tc>
          <w:tcPr>
            <w:tcW w:type="dxa" w:w="1728"/>
          </w:tcPr>
          <w:p>
            <w:r>
              <w:rPr>
                <w:rFonts w:ascii="Calibri" w:hAnsi="Calibri"/>
                <w:sz w:val="22"/>
              </w:rPr>
              <w:t>High-30s% growth expected for FY 2026; quarterly lumpiness flagged explicitly</w:t>
            </w:r>
          </w:p>
        </w:tc>
        <w:tc>
          <w:tcPr>
            <w:tcW w:type="dxa" w:w="1728"/>
          </w:tcPr>
          <w:p>
            <w:r>
              <w:rPr>
                <w:rFonts w:ascii="Calibri" w:hAnsi="Calibri"/>
                <w:sz w:val="22"/>
              </w:rPr>
              <w:t>—</w:t>
            </w:r>
          </w:p>
        </w:tc>
        <w:tc>
          <w:tcPr>
            <w:tcW w:type="dxa" w:w="1728"/>
          </w:tcPr>
          <w:p>
            <w:r>
              <w:rPr>
                <w:rFonts w:ascii="Calibri" w:hAnsi="Calibri"/>
                <w:sz w:val="22"/>
              </w:rPr>
              <w:t>N/A (not directly tracked by consensus)</w:t>
            </w:r>
          </w:p>
        </w:tc>
        <w:tc>
          <w:tcPr>
            <w:tcW w:type="dxa" w:w="1728"/>
          </w:tcPr>
          <w:p>
            <w:r>
              <w:rPr>
                <w:rFonts w:ascii="Calibri" w:hAnsi="Calibri"/>
                <w:sz w:val="22"/>
              </w:rPr>
              <w:t>Management flagged growing volume of nine-figure deals causing uneven quarterly patterns; Q2 bookings lumpiness is a known risk.</w:t>
            </w:r>
          </w:p>
        </w:tc>
      </w:tr>
      <w:tr>
        <w:tc>
          <w:tcPr>
            <w:tcW w:type="dxa" w:w="1728"/>
          </w:tcPr>
          <w:p>
            <w:r>
              <w:rPr>
                <w:rFonts w:ascii="Calibri" w:hAnsi="Calibri"/>
                <w:sz w:val="22"/>
              </w:rPr>
              <w:t>Long-Term (2028) Adj. EBITDA Margin</w:t>
            </w:r>
          </w:p>
        </w:tc>
        <w:tc>
          <w:tcPr>
            <w:tcW w:type="dxa" w:w="1728"/>
          </w:tcPr>
          <w:p>
            <w:r>
              <w:rPr>
                <w:rFonts w:ascii="Calibri" w:hAnsi="Calibri"/>
                <w:sz w:val="22"/>
              </w:rPr>
              <w:t>28% target (unchanged)</w:t>
            </w:r>
          </w:p>
        </w:tc>
        <w:tc>
          <w:tcPr>
            <w:tcW w:type="dxa" w:w="1728"/>
          </w:tcPr>
          <w:p>
            <w:r>
              <w:rPr>
                <w:rFonts w:ascii="Calibri" w:hAnsi="Calibri"/>
                <w:sz w:val="22"/>
              </w:rPr>
              <w:t>—</w:t>
            </w:r>
          </w:p>
        </w:tc>
        <w:tc>
          <w:tcPr>
            <w:tcW w:type="dxa" w:w="1728"/>
          </w:tcPr>
          <w:p>
            <w:r>
              <w:rPr>
                <w:rFonts w:ascii="Calibri" w:hAnsi="Calibri"/>
                <w:sz w:val="22"/>
              </w:rPr>
              <w:t>~26.8% (FY 2027 consensus)</w:t>
            </w:r>
          </w:p>
        </w:tc>
        <w:tc>
          <w:tcPr>
            <w:tcW w:type="dxa" w:w="1728"/>
          </w:tcPr>
          <w:p>
            <w:r>
              <w:rPr>
                <w:rFonts w:ascii="Calibri" w:hAnsi="Calibri"/>
                <w:sz w:val="22"/>
              </w:rPr>
              <w:t>2028 target reiterated; FY 2027 consensus of ~26.8% implies the street believes in the margin expansion path.</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the Q1 print — Q2 revenue consensus is essentially flat vs. the post-Q1 baseline, and FY 2026 consensus is tracking near the midpoint of guidance; the </w:t>
      </w:r>
      <w:r>
        <w:rPr>
          <w:rFonts w:ascii="Calibri" w:hAnsi="Calibri"/>
          <w:b/>
          <w:color w:val="525866"/>
          <w:sz w:val="22"/>
        </w:rPr>
        <w:t>gap between FCF guidance ($450M) and consensus (~$420M) is the most notable divergence</w:t>
      </w:r>
      <w:r>
        <w:rPr>
          <w:rFonts w:ascii="Calibri" w:hAnsi="Calibri"/>
          <w:color w:val="525866"/>
          <w:sz w:val="22"/>
        </w:rPr>
        <w:t>, suggesting the street is not fully crediting management's inventory normalization narrative.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$875.8M</w:t>
            </w:r>
          </w:p>
        </w:tc>
        <w:tc>
          <w:tcPr>
            <w:tcW w:type="dxa" w:w="1080"/>
          </w:tcPr>
          <w:p>
            <w:r>
              <w:rPr>
                <w:rFonts w:ascii="Calibri" w:hAnsi="Calibri"/>
                <w:sz w:val="22"/>
              </w:rPr>
              <w:t>$875.9M</w:t>
            </w:r>
          </w:p>
        </w:tc>
        <w:tc>
          <w:tcPr>
            <w:tcW w:type="dxa" w:w="1080"/>
          </w:tcPr>
          <w:p>
            <w:r>
              <w:rPr>
                <w:rFonts w:ascii="Calibri" w:hAnsi="Calibri"/>
                <w:sz w:val="22"/>
              </w:rPr>
              <w:t>+0.0%</w:t>
            </w:r>
          </w:p>
        </w:tc>
        <w:tc>
          <w:tcPr>
            <w:tcW w:type="dxa" w:w="1080"/>
          </w:tcPr>
          <w:p>
            <w:r>
              <w:rPr>
                <w:rFonts w:ascii="Calibri" w:hAnsi="Calibri"/>
                <w:sz w:val="22"/>
              </w:rPr>
              <w:t>30–32% FY growth (implies ~$850–$900M Q2)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~Midpoint of implied range</w:t>
            </w:r>
          </w:p>
        </w:tc>
      </w:tr>
      <w:tr>
        <w:tc>
          <w:tcPr>
            <w:tcW w:type="dxa" w:w="1080"/>
          </w:tcPr>
          <w:p>
            <w:r>
              <w:rPr>
                <w:rFonts w:ascii="Calibri" w:hAnsi="Calibri"/>
                <w:sz w:val="22"/>
              </w:rPr>
              <w:t>Revenue — FY 2026</w:t>
            </w:r>
          </w:p>
        </w:tc>
        <w:tc>
          <w:tcPr>
            <w:tcW w:type="dxa" w:w="1080"/>
          </w:tcPr>
          <w:p>
            <w:r>
              <w:rPr>
                <w:rFonts w:ascii="Calibri" w:hAnsi="Calibri"/>
                <w:sz w:val="22"/>
              </w:rPr>
              <w:t>$3,677M</w:t>
            </w:r>
          </w:p>
        </w:tc>
        <w:tc>
          <w:tcPr>
            <w:tcW w:type="dxa" w:w="1080"/>
          </w:tcPr>
          <w:p>
            <w:r>
              <w:rPr>
                <w:rFonts w:ascii="Calibri" w:hAnsi="Calibri"/>
                <w:sz w:val="22"/>
              </w:rPr>
              <w:t>$3,674M</w:t>
            </w:r>
          </w:p>
        </w:tc>
        <w:tc>
          <w:tcPr>
            <w:tcW w:type="dxa" w:w="1080"/>
          </w:tcPr>
          <w:p>
            <w:r>
              <w:rPr>
                <w:rFonts w:ascii="Calibri" w:hAnsi="Calibri"/>
                <w:sz w:val="22"/>
              </w:rPr>
              <w:t>-0.1%</w:t>
            </w:r>
          </w:p>
        </w:tc>
        <w:tc>
          <w:tcPr>
            <w:tcW w:type="dxa" w:w="1080"/>
          </w:tcPr>
          <w:p>
            <w:r>
              <w:rPr>
                <w:rFonts w:ascii="Calibri" w:hAnsi="Calibri"/>
                <w:sz w:val="22"/>
              </w:rPr>
              <w:t>30–32% growth (~$3.64–$3.71B)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~Low end of range</w:t>
            </w:r>
          </w:p>
        </w:tc>
      </w:tr>
      <w:tr>
        <w:tc>
          <w:tcPr>
            <w:tcW w:type="dxa" w:w="1080"/>
          </w:tcPr>
          <w:p>
            <w:r>
              <w:rPr>
                <w:rFonts w:ascii="Calibri" w:hAnsi="Calibri"/>
                <w:sz w:val="22"/>
              </w:rPr>
              <w:t>ARR — Q2 2026</w:t>
            </w:r>
          </w:p>
        </w:tc>
        <w:tc>
          <w:tcPr>
            <w:tcW w:type="dxa" w:w="1080"/>
          </w:tcPr>
          <w:p>
            <w:r>
              <w:rPr>
                <w:rFonts w:ascii="Calibri" w:hAnsi="Calibri"/>
                <w:sz w:val="22"/>
              </w:rPr>
              <w:t>$1,589M</w:t>
            </w:r>
          </w:p>
        </w:tc>
        <w:tc>
          <w:tcPr>
            <w:tcW w:type="dxa" w:w="1080"/>
          </w:tcPr>
          <w:p>
            <w:r>
              <w:rPr>
                <w:rFonts w:ascii="Calibri" w:hAnsi="Calibri"/>
                <w:sz w:val="22"/>
              </w:rPr>
              <w:t>$1,589M</w:t>
            </w:r>
          </w:p>
        </w:tc>
        <w:tc>
          <w:tcPr>
            <w:tcW w:type="dxa" w:w="1080"/>
          </w:tcPr>
          <w:p>
            <w:r>
              <w:rPr>
                <w:rFonts w:ascii="Calibri" w:hAnsi="Calibri"/>
                <w:sz w:val="22"/>
              </w:rPr>
              <w:t>0.0%</w:t>
            </w:r>
          </w:p>
        </w:tc>
        <w:tc>
          <w:tcPr>
            <w:tcW w:type="dxa" w:w="1080"/>
          </w:tcPr>
          <w:p>
            <w:r>
              <w:rPr>
                <w:rFonts w:ascii="Calibri" w:hAnsi="Calibri"/>
                <w:sz w:val="22"/>
              </w:rPr>
              <w:t>~$1.80B FY exit (implies ~$1.55–$1.60B Q2)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trajectory</w:t>
            </w:r>
          </w:p>
        </w:tc>
      </w:tr>
      <w:tr>
        <w:tc>
          <w:tcPr>
            <w:tcW w:type="dxa" w:w="1080"/>
          </w:tcPr>
          <w:p>
            <w:r>
              <w:rPr>
                <w:rFonts w:ascii="Calibri" w:hAnsi="Calibri"/>
                <w:sz w:val="22"/>
              </w:rPr>
              <w:t>ARR — FY 2026</w:t>
            </w:r>
          </w:p>
        </w:tc>
        <w:tc>
          <w:tcPr>
            <w:tcW w:type="dxa" w:w="1080"/>
          </w:tcPr>
          <w:p>
            <w:r>
              <w:rPr>
                <w:rFonts w:ascii="Calibri" w:hAnsi="Calibri"/>
                <w:sz w:val="22"/>
              </w:rPr>
              <w:t>$1,802M</w:t>
            </w:r>
          </w:p>
        </w:tc>
        <w:tc>
          <w:tcPr>
            <w:tcW w:type="dxa" w:w="1080"/>
          </w:tcPr>
          <w:p>
            <w:r>
              <w:rPr>
                <w:rFonts w:ascii="Calibri" w:hAnsi="Calibri"/>
                <w:sz w:val="22"/>
              </w:rPr>
              <w:t>$1,802M</w:t>
            </w:r>
          </w:p>
        </w:tc>
        <w:tc>
          <w:tcPr>
            <w:tcW w:type="dxa" w:w="1080"/>
          </w:tcPr>
          <w:p>
            <w:r>
              <w:rPr>
                <w:rFonts w:ascii="Calibri" w:hAnsi="Calibri"/>
                <w:sz w:val="22"/>
              </w:rPr>
              <w:t>0.0%</w:t>
            </w:r>
          </w:p>
        </w:tc>
        <w:tc>
          <w:tcPr>
            <w:tcW w:type="dxa" w:w="1080"/>
          </w:tcPr>
          <w:p>
            <w:r>
              <w:rPr>
                <w:rFonts w:ascii="Calibri" w:hAnsi="Calibri"/>
                <w:sz w:val="22"/>
              </w:rPr>
              <w:t>~$1.80B (35%+ growth trajectory)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Q2 2026</w:t>
            </w:r>
          </w:p>
        </w:tc>
        <w:tc>
          <w:tcPr>
            <w:tcW w:type="dxa" w:w="1080"/>
          </w:tcPr>
          <w:p>
            <w:r>
              <w:rPr>
                <w:rFonts w:ascii="Calibri" w:hAnsi="Calibri"/>
                <w:sz w:val="22"/>
              </w:rPr>
              <w:t>$1.79</w:t>
            </w:r>
          </w:p>
        </w:tc>
        <w:tc>
          <w:tcPr>
            <w:tcW w:type="dxa" w:w="1080"/>
          </w:tcPr>
          <w:p>
            <w:r>
              <w:rPr>
                <w:rFonts w:ascii="Calibri" w:hAnsi="Calibri"/>
                <w:sz w:val="22"/>
              </w:rPr>
              <w:t>$1.78</w:t>
            </w:r>
          </w:p>
        </w:tc>
        <w:tc>
          <w:tcPr>
            <w:tcW w:type="dxa" w:w="1080"/>
          </w:tcPr>
          <w:p>
            <w:r>
              <w:rPr>
                <w:rFonts w:ascii="Calibri" w:hAnsi="Calibri"/>
                <w:sz w:val="22"/>
              </w:rPr>
              <w:t>-0.6%</w:t>
            </w:r>
          </w:p>
        </w:tc>
        <w:tc>
          <w:tcPr>
            <w:tcW w:type="dxa" w:w="1080"/>
          </w:tcPr>
          <w:p>
            <w:r>
              <w:rPr>
                <w:rFonts w:ascii="Calibri" w:hAnsi="Calibri"/>
                <w:sz w:val="22"/>
              </w:rPr>
              <w:t>~$7.63 FY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 2026</w:t>
            </w:r>
          </w:p>
        </w:tc>
        <w:tc>
          <w:tcPr>
            <w:tcW w:type="dxa" w:w="1080"/>
          </w:tcPr>
          <w:p>
            <w:r>
              <w:rPr>
                <w:rFonts w:ascii="Calibri" w:hAnsi="Calibri"/>
                <w:sz w:val="22"/>
              </w:rPr>
              <w:t>$7.66</w:t>
            </w:r>
          </w:p>
        </w:tc>
        <w:tc>
          <w:tcPr>
            <w:tcW w:type="dxa" w:w="1080"/>
          </w:tcPr>
          <w:p>
            <w:r>
              <w:rPr>
                <w:rFonts w:ascii="Calibri" w:hAnsi="Calibri"/>
                <w:sz w:val="22"/>
              </w:rPr>
              <w:t>$7.63</w:t>
            </w:r>
          </w:p>
        </w:tc>
        <w:tc>
          <w:tcPr>
            <w:tcW w:type="dxa" w:w="1080"/>
          </w:tcPr>
          <w:p>
            <w:r>
              <w:rPr>
                <w:rFonts w:ascii="Calibri" w:hAnsi="Calibri"/>
                <w:sz w:val="22"/>
              </w:rPr>
              <w:t>-0.4%</w:t>
            </w:r>
          </w:p>
        </w:tc>
        <w:tc>
          <w:tcPr>
            <w:tcW w:type="dxa" w:w="1080"/>
          </w:tcPr>
          <w:p>
            <w:r>
              <w:rPr>
                <w:rFonts w:ascii="Calibri" w:hAnsi="Calibri"/>
                <w:sz w:val="22"/>
              </w:rPr>
              <w:t>25.5% EBITDA margin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FCF — FY 2026</w:t>
            </w:r>
          </w:p>
        </w:tc>
        <w:tc>
          <w:tcPr>
            <w:tcW w:type="dxa" w:w="1080"/>
          </w:tcPr>
          <w:p>
            <w:r>
              <w:rPr>
                <w:rFonts w:ascii="Calibri" w:hAnsi="Calibri"/>
                <w:sz w:val="22"/>
              </w:rPr>
              <w:t>$457M</w:t>
            </w:r>
          </w:p>
        </w:tc>
        <w:tc>
          <w:tcPr>
            <w:tcW w:type="dxa" w:w="1080"/>
          </w:tcPr>
          <w:p>
            <w:r>
              <w:rPr>
                <w:rFonts w:ascii="Calibri" w:hAnsi="Calibri"/>
                <w:sz w:val="22"/>
              </w:rPr>
              <w:t>$420M</w:t>
            </w:r>
          </w:p>
        </w:tc>
        <w:tc>
          <w:tcPr>
            <w:tcW w:type="dxa" w:w="1080"/>
          </w:tcPr>
          <w:p>
            <w:r>
              <w:rPr>
                <w:rFonts w:ascii="Calibri" w:hAnsi="Calibri"/>
                <w:b/>
                <w:color w:val="E5484D"/>
                <w:sz w:val="22"/>
              </w:rPr>
              <w:t>-8.1%</w:t>
            </w:r>
          </w:p>
        </w:tc>
        <w:tc>
          <w:tcPr>
            <w:tcW w:type="dxa" w:w="1080"/>
          </w:tcPr>
          <w:p>
            <w:r>
              <w:rPr>
                <w:rFonts w:ascii="Calibri" w:hAnsi="Calibri"/>
                <w:sz w:val="22"/>
              </w:rPr>
              <w:t>~$450M (new guidance at Q1 call)</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-6.7% below guide</w:t>
            </w:r>
          </w:p>
        </w:tc>
      </w:tr>
    </w:tbl>
    <w:p>
      <w:r>
        <w:rPr>
          <w:rFonts w:ascii="Calibri" w:hAnsi="Calibri"/>
          <w:i/>
          <w:color w:val="525866"/>
          <w:sz w:val="22"/>
        </w:rPr>
        <w:t>Source: Visible Alpha Consensus and Actuals Data. Estimate baseline as of May 13, 2026 (5 trading days post Q1 earnings). Estimates have been remarkably stable since the Q1 print, confirming the street is comfortable with management's guidance framework. The FCF gap is the one area where consensus is meaningfully below guidance — Q2 FCF delivery (consensus ~$99M) will be an important data point for credibility on the $450M full-year target.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AXON has surged ~57% since Q1 earnings (May 6, 2026) vs. ITA +12% and SPY +5% — the outperformance is driven by a combination of </w:t>
      </w:r>
      <w:r>
        <w:rPr>
          <w:rFonts w:ascii="Calibri" w:hAnsi="Calibri"/>
          <w:b/>
          <w:color w:val="525866"/>
          <w:sz w:val="22"/>
        </w:rPr>
        <w:t>multiple expansion on AI/drone narrative</w:t>
      </w:r>
      <w:r>
        <w:rPr>
          <w:rFonts w:ascii="Calibri" w:hAnsi="Calibri"/>
          <w:color w:val="525866"/>
          <w:sz w:val="22"/>
        </w:rPr>
        <w:t xml:space="preserve"> and a series of positive catalysts (Trump/ICE contract disclosure, federal body camera orders, board appointments), meaning the stock has already priced in significant execution upside and leaves little room for disappointment.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AXON vs. ITA (Aerospace &amp; Defense ETF) vs. S&amp;P 500 — Indexed to 100 at Q1 2026 Earnings Date (May 6, 2026). AXON: +57.4% | ITA: +12.2% | SPY: +5.1%. Source: Yahoo Finance / Stock Price Data.</w:t>
      </w:r>
    </w:p>
    <w:p>
      <w:r>
        <w:rPr>
          <w:rFonts w:ascii="Calibri" w:hAnsi="Calibri"/>
          <w:b/>
          <w:color w:val="525866"/>
          <w:sz w:val="22"/>
        </w:rPr>
        <w:t xml:space="preserve">Performance Narrative: </w:t>
      </w:r>
      <w:r>
        <w:rPr>
          <w:rFonts w:ascii="Calibri" w:hAnsi="Calibri"/>
          <w:color w:val="525866"/>
          <w:sz w:val="22"/>
        </w:rPr>
        <w:t xml:space="preserve">AXON's post-Q1 trajectory can be broken into three phases: (1) </w:t>
      </w:r>
      <w:r>
        <w:rPr>
          <w:rFonts w:ascii="Calibri" w:hAnsi="Calibri"/>
          <w:b/>
          <w:color w:val="525866"/>
          <w:sz w:val="22"/>
        </w:rPr>
        <w:t>Initial consolidation (May 6 – May 27)</w:t>
      </w:r>
      <w:r>
        <w:rPr>
          <w:rFonts w:ascii="Calibri" w:hAnsi="Calibri"/>
          <w:color w:val="525866"/>
          <w:sz w:val="22"/>
        </w:rPr>
        <w:t xml:space="preserve">: stock pulled back from the Q1 earnings pop (~$427 intraday high on May 7) to the low-$380s as the market digested the print and the stock's elevated valuation; (2) </w:t>
      </w:r>
      <w:r>
        <w:rPr>
          <w:rFonts w:ascii="Calibri" w:hAnsi="Calibri"/>
          <w:b/>
          <w:color w:val="525866"/>
          <w:sz w:val="22"/>
        </w:rPr>
        <w:t>Re-acceleration (late May – early July)</w:t>
      </w:r>
      <w:r>
        <w:rPr>
          <w:rFonts w:ascii="Calibri" w:hAnsi="Calibri"/>
          <w:color w:val="525866"/>
          <w:sz w:val="22"/>
        </w:rPr>
        <w:t xml:space="preserve">: a sharp rally from ~$385 to a peak of ~$640 (July 7) driven by the Echodyne drone partnership (May 27), the Trump/ICE TASER contract disclosure (June 29–30), and broad momentum in defense tech; (3) </w:t>
      </w:r>
      <w:r>
        <w:rPr>
          <w:rFonts w:ascii="Calibri" w:hAnsi="Calibri"/>
          <w:b/>
          <w:color w:val="525866"/>
          <w:sz w:val="22"/>
        </w:rPr>
        <w:t>Pullback and stabilization (mid-July – early August)</w:t>
      </w:r>
      <w:r>
        <w:rPr>
          <w:rFonts w:ascii="Calibri" w:hAnsi="Calibri"/>
          <w:color w:val="525866"/>
          <w:sz w:val="22"/>
        </w:rPr>
        <w:t>: stock retraced to the $490–$530 range as the ICE TASER contract remained unawarded and profit-taking set in, before recovering to ~$607 on August 5 (earnings day). The sector ETF (ITA) also performed well (+12%), reflecting broad defense tech tailwinds, but AXON's outperformance of ~45 percentage points is almost entirely idiosyncratic. At ~80x forward P/E, the stock is pricing in sustained 30%+ growth and margin expansion — any guidance cut or bookings miss would be severely punished.</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Trump/ICE TASER contract narrative and the $30.9M ICE body camera orders</w:t>
      </w:r>
      <w:r>
        <w:rPr>
          <w:rFonts w:ascii="Calibri" w:hAnsi="Calibri"/>
          <w:color w:val="525866"/>
          <w:sz w:val="22"/>
        </w:rPr>
        <w:t xml:space="preserve"> — together they validate federal demand acceleration and drove the bulk of AXON's post-Q1 stock outperformance, though the larger $220M TASER contract remains unawarded and represents both upside optionality and headline risk.</w:t>
      </w:r>
    </w:p>
    <w:p>
      <w:pPr>
        <w:pStyle w:val="ListBullet"/>
        <w:ind w:left="360" w:hanging="360"/>
      </w:pPr>
      <w:r>
        <w:rPr>
          <w:rFonts w:ascii="Calibri" w:hAnsi="Calibri"/>
          <w:b/>
          <w:color w:val="525866"/>
          <w:sz w:val="22"/>
        </w:rPr>
        <w:t>July 17, 2026 — ICE Awards $30.9M in Body Camera Orders to AXON:</w:t>
      </w:r>
      <w:r>
        <w:rPr>
          <w:rFonts w:ascii="Calibri" w:hAnsi="Calibri"/>
          <w:color w:val="525866"/>
          <w:sz w:val="22"/>
        </w:rPr>
        <w:t xml:space="preserve"> ICE placed two non-competitive delivery orders ($17.8M and $13.1M) against AXON's existing $370M DHS IDIQ contract for body-worn cameras for its Office of Firearms and Tactical Programs. These were the two largest new federal contract awards signed in that week per USAspending.gov. </w:t>
      </w:r>
      <w:r>
        <w:rPr>
          <w:rFonts w:ascii="Calibri" w:hAnsi="Calibri"/>
          <w:i/>
          <w:color w:val="525866"/>
          <w:sz w:val="22"/>
        </w:rPr>
        <w:t>Implication:</w:t>
      </w:r>
      <w:r>
        <w:rPr>
          <w:rFonts w:ascii="Calibri" w:hAnsi="Calibri"/>
          <w:i/>
          <w:color w:val="525866"/>
          <w:sz w:val="22"/>
        </w:rPr>
        <w:t xml:space="preserve"> Confirms federal agency demand is accelerating and validates AXON's dominant position in the DHS ecosystem; provides a direct Q2/Q3 revenue tailwind.</w:t>
      </w:r>
    </w:p>
    <w:p>
      <w:pPr>
        <w:pStyle w:val="ListBullet"/>
        <w:ind w:left="360" w:hanging="360"/>
      </w:pPr>
      <w:r>
        <w:rPr>
          <w:rFonts w:ascii="Calibri" w:hAnsi="Calibri"/>
          <w:b/>
          <w:color w:val="525866"/>
          <w:sz w:val="22"/>
        </w:rPr>
        <w:t>June 29–30, 2026 — Trump/ICE TASER Contract Disclosure:</w:t>
      </w:r>
      <w:r>
        <w:rPr>
          <w:rFonts w:ascii="Calibri" w:hAnsi="Calibri"/>
          <w:color w:val="525866"/>
          <w:sz w:val="22"/>
        </w:rPr>
        <w:t xml:space="preserve"> CNBC reported that President Trump purchased $1–$5M in AXON stock on Feb. 10, two weeks before ICE posted a notice seeking a five-year, $220M TASER contract for ~17,800 TASER 10 devices. The contract specifications appear tailored to AXON products. The contract has not yet been awarded and is reportedly stalled by price and DHS leadership changes. </w:t>
      </w:r>
      <w:r>
        <w:rPr>
          <w:rFonts w:ascii="Calibri" w:hAnsi="Calibri"/>
          <w:i/>
          <w:color w:val="525866"/>
          <w:sz w:val="22"/>
        </w:rPr>
        <w:t>Implication:</w:t>
      </w:r>
      <w:r>
        <w:rPr>
          <w:rFonts w:ascii="Calibri" w:hAnsi="Calibri"/>
          <w:i/>
          <w:color w:val="525866"/>
          <w:sz w:val="22"/>
        </w:rPr>
        <w:t xml:space="preserve"> Drove a sharp stock rally (+14% on July 8); if awarded, would be a major incremental revenue catalyst. Stalling is a near-term risk but DHS is expected to continue pursuing the deal.</w:t>
      </w:r>
    </w:p>
    <w:p>
      <w:pPr>
        <w:pStyle w:val="ListBullet"/>
        <w:ind w:left="360" w:hanging="360"/>
      </w:pPr>
      <w:r>
        <w:rPr>
          <w:rFonts w:ascii="Calibri" w:hAnsi="Calibri"/>
          <w:b/>
          <w:color w:val="525866"/>
          <w:sz w:val="22"/>
        </w:rPr>
        <w:t>July 10, 2026 — Board Appointments: Dell Strategy Chief and AI Founder:</w:t>
      </w:r>
      <w:r>
        <w:rPr>
          <w:rFonts w:ascii="Calibri" w:hAnsi="Calibri"/>
          <w:color w:val="525866"/>
          <w:sz w:val="22"/>
        </w:rPr>
        <w:t xml:space="preserve"> AXON appointed Vivek Mohindra (former Dell SVP &amp; Chief Strategy Officer) and Eiso Kant (co-founder/CTO of poolside, a foundation model AI company) to its Board of Directors. Kant also serves as President of Poolside Infrastructure Company, developing large-scale AI compute infrastructure. </w:t>
      </w:r>
      <w:r>
        <w:rPr>
          <w:rFonts w:ascii="Calibri" w:hAnsi="Calibri"/>
          <w:i/>
          <w:color w:val="525866"/>
          <w:sz w:val="22"/>
        </w:rPr>
        <w:t>Implication:</w:t>
      </w:r>
      <w:r>
        <w:rPr>
          <w:rFonts w:ascii="Calibri" w:hAnsi="Calibri"/>
          <w:i/>
          <w:color w:val="525866"/>
          <w:sz w:val="22"/>
        </w:rPr>
        <w:t xml:space="preserve"> Signals AXON's intent to deepen AI capabilities and enterprise strategy; Kant's foundation model expertise is directly relevant to AXON's AI Era Plan and Axon Gravity platform ambitions.</w:t>
      </w:r>
    </w:p>
    <w:p>
      <w:pPr>
        <w:pStyle w:val="ListBullet"/>
        <w:ind w:left="360" w:hanging="360"/>
      </w:pPr>
      <w:r>
        <w:rPr>
          <w:rFonts w:ascii="Calibri" w:hAnsi="Calibri"/>
          <w:b/>
          <w:color w:val="525866"/>
          <w:sz w:val="22"/>
        </w:rPr>
        <w:t>July 6, 2026 — Needham Raises Price Target to $750 (from $600):</w:t>
      </w:r>
      <w:r>
        <w:rPr>
          <w:rFonts w:ascii="Calibri" w:hAnsi="Calibri"/>
          <w:color w:val="525866"/>
          <w:sz w:val="22"/>
        </w:rPr>
        <w:t xml:space="preserve"> Needham raised its price target on AXON to $750, citing strong momentum in counter-drone, AI Era Plan adoption, and federal demand. </w:t>
      </w:r>
      <w:r>
        <w:rPr>
          <w:rFonts w:ascii="Calibri" w:hAnsi="Calibri"/>
          <w:i/>
          <w:color w:val="525866"/>
          <w:sz w:val="22"/>
        </w:rPr>
        <w:t>Implication:</w:t>
      </w:r>
      <w:r>
        <w:rPr>
          <w:rFonts w:ascii="Calibri" w:hAnsi="Calibri"/>
          <w:i/>
          <w:color w:val="525866"/>
          <w:sz w:val="22"/>
        </w:rPr>
        <w:t xml:space="preserve"> Reflects growing sell-side confidence in AXON's multi-market growth story; consensus target price of ~$725 per MarketBeat.</w:t>
      </w:r>
    </w:p>
    <w:p>
      <w:pPr>
        <w:pStyle w:val="ListBullet"/>
        <w:ind w:left="360" w:hanging="360"/>
      </w:pPr>
      <w:r>
        <w:rPr>
          <w:rFonts w:ascii="Calibri" w:hAnsi="Calibri"/>
          <w:b/>
          <w:color w:val="525866"/>
          <w:sz w:val="22"/>
        </w:rPr>
        <w:t>June 25, 2026 — RBC Says AXON Well Positioned for 30%+ Revenue Growth:</w:t>
      </w:r>
      <w:r>
        <w:rPr>
          <w:rFonts w:ascii="Calibri" w:hAnsi="Calibri"/>
          <w:color w:val="525866"/>
          <w:sz w:val="22"/>
        </w:rPr>
        <w:t xml:space="preserve"> RBC Capital Markets published a positive note reiterating confidence in AXON's ability to sustain 30%+ revenue growth, citing pipeline strength and new product momentum. </w:t>
      </w:r>
      <w:r>
        <w:rPr>
          <w:rFonts w:ascii="Calibri" w:hAnsi="Calibri"/>
          <w:i/>
          <w:color w:val="525866"/>
          <w:sz w:val="22"/>
        </w:rPr>
        <w:t>Implication:</w:t>
      </w:r>
      <w:r>
        <w:rPr>
          <w:rFonts w:ascii="Calibri" w:hAnsi="Calibri"/>
          <w:i/>
          <w:color w:val="525866"/>
          <w:sz w:val="22"/>
        </w:rPr>
        <w:t xml:space="preserve"> Adds to the positive analyst sentiment backdrop heading into Q2 earnings.</w:t>
      </w:r>
    </w:p>
    <w:p>
      <w:pPr>
        <w:pStyle w:val="ListBullet"/>
        <w:ind w:left="360" w:hanging="360"/>
      </w:pPr>
      <w:r>
        <w:rPr>
          <w:rFonts w:ascii="Calibri" w:hAnsi="Calibri"/>
          <w:b/>
          <w:color w:val="525866"/>
          <w:sz w:val="22"/>
        </w:rPr>
        <w:t>May 27, 2026 — Echodyne Partnership for Drone-as-First-Responder (DFR):</w:t>
      </w:r>
      <w:r>
        <w:rPr>
          <w:rFonts w:ascii="Calibri" w:hAnsi="Calibri"/>
          <w:color w:val="525866"/>
          <w:sz w:val="22"/>
        </w:rPr>
        <w:t xml:space="preserve"> AXON and Echodyne announced a partnership integrating Echodyne's MESA radar technology into AXON's Axon Air and Dedrone solutions for public safety drone operations. The partnership is already managing hundreds of DFR operations daily with dozens of additional deployments underway. </w:t>
      </w:r>
      <w:r>
        <w:rPr>
          <w:rFonts w:ascii="Calibri" w:hAnsi="Calibri"/>
          <w:i/>
          <w:color w:val="525866"/>
          <w:sz w:val="22"/>
        </w:rPr>
        <w:t>Implication:</w:t>
      </w:r>
      <w:r>
        <w:rPr>
          <w:rFonts w:ascii="Calibri" w:hAnsi="Calibri"/>
          <w:i/>
          <w:color w:val="525866"/>
          <w:sz w:val="22"/>
        </w:rPr>
        <w:t xml:space="preserve"> Strengthens AXON's counter-drone ecosystem and DFR infrastructure, supporting the continued scaling of Dedrone bookings (up 500% YoY in Q1).</w:t>
      </w:r>
    </w:p>
    <w:p>
      <w:pPr>
        <w:pStyle w:val="ListBullet"/>
        <w:ind w:left="360" w:hanging="360"/>
      </w:pPr>
      <w:r>
        <w:rPr>
          <w:rFonts w:ascii="Calibri" w:hAnsi="Calibri"/>
          <w:b/>
          <w:color w:val="525866"/>
          <w:sz w:val="22"/>
        </w:rPr>
        <w:t>May 27, 2026 — TD Cowen Conference Appearance:</w:t>
      </w:r>
      <w:r>
        <w:rPr>
          <w:rFonts w:ascii="Calibri" w:hAnsi="Calibri"/>
          <w:color w:val="525866"/>
          <w:sz w:val="22"/>
        </w:rPr>
        <w:t xml:space="preserve"> AXON management presented at TD Cowen's 54th Annual Technology, Media &amp; Telecom Conference, reinforcing the company's AI and enterprise growth narrative ahead of Q2.</w:t>
      </w:r>
    </w:p>
    <w:p>
      <w:pPr>
        <w:pStyle w:val="ListBullet"/>
        <w:ind w:left="360" w:hanging="360"/>
      </w:pPr>
      <w:r>
        <w:rPr>
          <w:rFonts w:ascii="Calibri" w:hAnsi="Calibri"/>
          <w:b/>
          <w:color w:val="525866"/>
          <w:sz w:val="22"/>
        </w:rPr>
        <w:t>May 19, 2026 — J.P. Morgan Global Technology Conference:</w:t>
      </w:r>
      <w:r>
        <w:rPr>
          <w:rFonts w:ascii="Calibri" w:hAnsi="Calibri"/>
          <w:color w:val="525866"/>
          <w:sz w:val="22"/>
        </w:rPr>
        <w:t xml:space="preserve"> AXON presented at J.P. Morgan's 54th Annual Global Technology, Media and Communications Conference, maintaining investor engagement and visibility with institutional investors.</w:t>
      </w:r>
    </w:p>
    <w:p>
      <w:pPr>
        <w:pStyle w:val="ListBullet"/>
        <w:ind w:left="360" w:hanging="360"/>
      </w:pPr>
      <w:r>
        <w:rPr>
          <w:rFonts w:ascii="Calibri" w:hAnsi="Calibri"/>
          <w:b/>
          <w:color w:val="525866"/>
          <w:sz w:val="22"/>
        </w:rPr>
        <w:t>Ongoing — ICE TASER Contract ($220M) Status:</w:t>
      </w:r>
      <w:r>
        <w:rPr>
          <w:rFonts w:ascii="Calibri" w:hAnsi="Calibri"/>
          <w:color w:val="525866"/>
          <w:sz w:val="22"/>
        </w:rPr>
        <w:t xml:space="preserve"> The pending five-year, $220M ICE TASER contract for ~17,800 TASER 10 devices remains unawarded. A source familiar with the procurement told CNBC the contract is stalled by its price tag and DHS leadership changes, but DHS is expected to continue pursuing the deal. AXON already has a $370M DHS body camera IDIQ (only ~$67.5M obligated so far). </w:t>
      </w:r>
      <w:r>
        <w:rPr>
          <w:rFonts w:ascii="Calibri" w:hAnsi="Calibri"/>
          <w:i/>
          <w:color w:val="525866"/>
          <w:sz w:val="22"/>
        </w:rPr>
        <w:t>Implication:</w:t>
      </w:r>
      <w:r>
        <w:rPr>
          <w:rFonts w:ascii="Calibri" w:hAnsi="Calibri"/>
          <w:i/>
          <w:color w:val="525866"/>
          <w:sz w:val="22"/>
        </w:rPr>
        <w:t xml:space="preserve"> Represents significant upside optionality if awarded; management may provide an update on the Q2 call.</w:t>
      </w:r>
    </w:p>
    <w:p>
      <w:r>
        <w:br w:type="page"/>
      </w:r>
    </w:p>
    <w:p>
      <w:pPr>
        <w:pStyle w:val="Heading2"/>
      </w:pPr>
      <w:r>
        <w:rPr>
          <w:rFonts w:ascii="Calibri" w:hAnsi="Calibri"/>
          <w:b/>
          <w:color w:val="3B4259"/>
          <w:sz w:val="28"/>
        </w:rPr>
        <w:t>7. Peer Commentaries — Read-Through for Q2 2026</w:t>
      </w:r>
    </w:p>
    <w:p>
      <w:r>
        <w:rPr>
          <w:rFonts w:ascii="Calibri" w:hAnsi="Calibri"/>
          <w:i/>
          <w:color w:val="525866"/>
          <w:sz w:val="22"/>
        </w:rPr>
        <w:t>The following peer commentaries are from the last 60 days (May–August 2026) and relate to themes directly relevant to AXON's Q2 2026 results: AI software adoption, government/public safety technology demand, drone/counter-UAS momentum, enterprise SaaS expansion, and federal budget dynamics. Only commentary about the current reporting environment (Q2 2026 conditions) is included — prior-quarter results commentary is excluded.</w:t>
      </w:r>
    </w:p>
    <w:p>
      <w:pPr>
        <w:pStyle w:val="Heading3"/>
      </w:pPr>
      <w:r>
        <w:rPr>
          <w:rFonts w:ascii="Calibri" w:hAnsi="Calibri"/>
          <w:b/>
          <w:color w:val="3B4259"/>
          <w:sz w:val="24"/>
        </w:rPr>
        <w:t>Datadog (DDOG) — Q1 2026 Earnings Call (May 7, 2026)</w:t>
      </w:r>
    </w:p>
    <w:p>
      <w:r>
        <w:rPr>
          <w:rFonts w:ascii="Calibri" w:hAnsi="Calibri"/>
          <w:b/>
          <w:i/>
          <w:color w:val="525866"/>
          <w:sz w:val="22"/>
        </w:rPr>
        <w:t>Read-Through Theme: AI software demand inflection and ARR acceleration</w:t>
      </w:r>
    </w:p>
    <w:p>
      <w:pPr>
        <w:pStyle w:val="ListBullet"/>
        <w:ind w:left="360" w:hanging="360"/>
      </w:pPr>
      <w:r>
        <w:rPr>
          <w:rFonts w:ascii="Calibri" w:hAnsi="Calibri"/>
          <w:b/>
          <w:color w:val="525866"/>
          <w:sz w:val="22"/>
        </w:rPr>
        <w:t>AI demand inflection is real and broad-based:</w:t>
      </w:r>
      <w:r>
        <w:rPr>
          <w:rFonts w:ascii="Calibri" w:hAnsi="Calibri"/>
          <w:color w:val="525866"/>
          <w:sz w:val="22"/>
        </w:rPr>
        <w:t xml:space="preserve"> DDOG reported Q1 2026 revenue of $1.01B (+32% YoY, accelerating from 29% last quarter), with ARR exceeding $4B and an all-time record for sequential ARR added. CEO Olivier Pomel described an "inflection point in consumption from customers" with a "very real" move to production for AI applications across both AI-native and non-AI companies. </w:t>
      </w:r>
      <w:r>
        <w:rPr>
          <w:rFonts w:ascii="Calibri" w:hAnsi="Calibri"/>
          <w:i/>
          <w:color w:val="525866"/>
          <w:sz w:val="22"/>
        </w:rPr>
        <w:t>AXON read-through:</w:t>
      </w:r>
      <w:r>
        <w:rPr>
          <w:rFonts w:ascii="Calibri" w:hAnsi="Calibri"/>
          <w:i/>
          <w:color w:val="525866"/>
          <w:sz w:val="22"/>
        </w:rPr>
        <w:t xml:space="preserve"> Validates AXON's AI Era Plan adoption narrative — if enterprise customers broadly are moving AI from experimentation to production, AXON's claim that "nearly all large domestic law enforcement agencies are now including AI in their purchases" is credible and likely to sustain.</w:t>
      </w:r>
    </w:p>
    <w:p>
      <w:pPr>
        <w:pStyle w:val="ListBullet"/>
        <w:ind w:left="360" w:hanging="360"/>
      </w:pPr>
      <w:r>
        <w:rPr>
          <w:rFonts w:ascii="Calibri" w:hAnsi="Calibri"/>
          <w:b/>
          <w:color w:val="525866"/>
          <w:sz w:val="22"/>
        </w:rPr>
        <w:t>Net Revenue Retention in low-120s% and rising:</w:t>
      </w:r>
      <w:r>
        <w:rPr>
          <w:rFonts w:ascii="Calibri" w:hAnsi="Calibri"/>
          <w:color w:val="525866"/>
          <w:sz w:val="22"/>
        </w:rPr>
        <w:t xml:space="preserve"> DDOG's trailing 12-month NRR was in the low 120%, up from ~120% last quarter, with gross retention stable in the mid-to-high 90s. </w:t>
      </w:r>
      <w:r>
        <w:rPr>
          <w:rFonts w:ascii="Calibri" w:hAnsi="Calibri"/>
          <w:i/>
          <w:color w:val="525866"/>
          <w:sz w:val="22"/>
        </w:rPr>
        <w:t>AXON read-through:</w:t>
      </w:r>
      <w:r>
        <w:rPr>
          <w:rFonts w:ascii="Calibri" w:hAnsi="Calibri"/>
          <w:i/>
          <w:color w:val="525866"/>
          <w:sz w:val="22"/>
        </w:rPr>
        <w:t xml:space="preserve"> AXON's NRR of 125% in Q1 2026 is above DDOG's, suggesting AXON's platform stickiness and upsell motion is even stronger. Sustaining 125% NRR in Q2 would be a key positive signal.</w:t>
      </w:r>
    </w:p>
    <w:p>
      <w:pPr>
        <w:pStyle w:val="ListBullet"/>
        <w:ind w:left="360" w:hanging="360"/>
      </w:pPr>
      <w:r>
        <w:rPr>
          <w:rFonts w:ascii="Calibri" w:hAnsi="Calibri"/>
          <w:b/>
          <w:color w:val="525866"/>
          <w:sz w:val="22"/>
        </w:rPr>
        <w:t>FedRAMP High certification unlocks federal market:</w:t>
      </w:r>
      <w:r>
        <w:rPr>
          <w:rFonts w:ascii="Calibri" w:hAnsi="Calibri"/>
          <w:color w:val="525866"/>
          <w:sz w:val="22"/>
        </w:rPr>
        <w:t xml:space="preserve"> DDOG received FedRAMP High certification, enabling engagement with federal agency customers for sensitive workloads, and is expanding go-to-market teams and channel partnerships for public sector customers. </w:t>
      </w:r>
      <w:r>
        <w:rPr>
          <w:rFonts w:ascii="Calibri" w:hAnsi="Calibri"/>
          <w:i/>
          <w:color w:val="525866"/>
          <w:sz w:val="22"/>
        </w:rPr>
        <w:t>AXON read-through:</w:t>
      </w:r>
      <w:r>
        <w:rPr>
          <w:rFonts w:ascii="Calibri" w:hAnsi="Calibri"/>
          <w:i/>
          <w:color w:val="525866"/>
          <w:sz w:val="22"/>
        </w:rPr>
        <w:t xml:space="preserve"> Confirms that cloud/SaaS vendors are actively investing in federal market access — AXON's existing deep federal relationships (DHS, ICE, DOJ) and compliance infrastructure represent a durable competitive moat that newer entrants like DDOG are only beginning to build.</w:t>
      </w:r>
    </w:p>
    <w:p>
      <w:pPr>
        <w:pStyle w:val="ListBullet"/>
        <w:ind w:left="360" w:hanging="360"/>
      </w:pPr>
      <w:r>
        <w:rPr>
          <w:rFonts w:ascii="Calibri" w:hAnsi="Calibri"/>
          <w:b/>
          <w:color w:val="525866"/>
          <w:sz w:val="22"/>
        </w:rPr>
        <w:t>Non-AI customer revenue also accelerating:</w:t>
      </w:r>
      <w:r>
        <w:rPr>
          <w:rFonts w:ascii="Calibri" w:hAnsi="Calibri"/>
          <w:color w:val="525866"/>
          <w:sz w:val="22"/>
        </w:rPr>
        <w:t xml:space="preserve"> DDOG noted non-AI customer revenue growth accelerated to mid-20s% YoY, up from 23% last quarter. </w:t>
      </w:r>
      <w:r>
        <w:rPr>
          <w:rFonts w:ascii="Calibri" w:hAnsi="Calibri"/>
          <w:i/>
          <w:color w:val="525866"/>
          <w:sz w:val="22"/>
        </w:rPr>
        <w:t>AXON read-through:</w:t>
      </w:r>
      <w:r>
        <w:rPr>
          <w:rFonts w:ascii="Calibri" w:hAnsi="Calibri"/>
          <w:i/>
          <w:color w:val="525866"/>
          <w:sz w:val="22"/>
        </w:rPr>
        <w:t xml:space="preserve"> Suggests the broader enterprise software demand environment is healthy, not just AI-specific — positive for AXON's core body camera and evidence management software renewal and expansion cycle.</w:t>
      </w:r>
    </w:p>
    <w:p>
      <w:pPr>
        <w:pStyle w:val="Heading3"/>
      </w:pPr>
      <w:r>
        <w:rPr>
          <w:rFonts w:ascii="Calibri" w:hAnsi="Calibri"/>
          <w:b/>
          <w:color w:val="3B4259"/>
          <w:sz w:val="24"/>
        </w:rPr>
        <w:t>Palo Alto Networks (PANW) — Q3 FY2026 Earnings Call (June 2, 2026)</w:t>
      </w:r>
    </w:p>
    <w:p>
      <w:r>
        <w:rPr>
          <w:rFonts w:ascii="Calibri" w:hAnsi="Calibri"/>
          <w:b/>
          <w:i/>
          <w:color w:val="525866"/>
          <w:sz w:val="22"/>
        </w:rPr>
        <w:t>Read-Through Theme: AI-driven security demand, platformization, and government tech spending</w:t>
      </w:r>
    </w:p>
    <w:p>
      <w:pPr>
        <w:pStyle w:val="ListBullet"/>
        <w:ind w:left="360" w:hanging="360"/>
      </w:pPr>
      <w:r>
        <w:rPr>
          <w:rFonts w:ascii="Calibri" w:hAnsi="Calibri"/>
          <w:b/>
          <w:color w:val="525866"/>
          <w:sz w:val="22"/>
        </w:rPr>
        <w:t>AI is creating a structural security demand surge:</w:t>
      </w:r>
      <w:r>
        <w:rPr>
          <w:rFonts w:ascii="Calibri" w:hAnsi="Calibri"/>
          <w:color w:val="525866"/>
          <w:sz w:val="22"/>
        </w:rPr>
        <w:t xml:space="preserve"> PANW described entering an "era of truly cyber capable systems" where AI models can execute comprehensive attack campaigns autonomously. Next-generation firewall bookings rose nearly 40% YoY — the strongest hardware performance in a decade — driven by AI data center build-outs and a new class of buyers including sovereign infrastructure providers and AI labs. </w:t>
      </w:r>
      <w:r>
        <w:rPr>
          <w:rFonts w:ascii="Calibri" w:hAnsi="Calibri"/>
          <w:i/>
          <w:color w:val="525866"/>
          <w:sz w:val="22"/>
        </w:rPr>
        <w:t>AXON read-through:</w:t>
      </w:r>
      <w:r>
        <w:rPr>
          <w:rFonts w:ascii="Calibri" w:hAnsi="Calibri"/>
          <w:i/>
          <w:color w:val="525866"/>
          <w:sz w:val="22"/>
        </w:rPr>
        <w:t xml:space="preserve"> The AI-driven security demand surge is directly relevant to AXON's counter-drone and Axon Vision (AI-powered CCTV analytics) products. Data centers and critical infrastructure operators are actively seeking physical security solutions — AXON's enterprise counter-drone pipeline is a direct beneficiary.</w:t>
      </w:r>
    </w:p>
    <w:p>
      <w:pPr>
        <w:pStyle w:val="ListBullet"/>
        <w:ind w:left="360" w:hanging="360"/>
      </w:pPr>
      <w:r>
        <w:rPr>
          <w:rFonts w:ascii="Calibri" w:hAnsi="Calibri"/>
          <w:b/>
          <w:color w:val="525866"/>
          <w:sz w:val="22"/>
        </w:rPr>
        <w:t>Platformization driving 120% net retention and single-digit churn:</w:t>
      </w:r>
      <w:r>
        <w:rPr>
          <w:rFonts w:ascii="Calibri" w:hAnsi="Calibri"/>
          <w:color w:val="525866"/>
          <w:sz w:val="22"/>
        </w:rPr>
        <w:t xml:space="preserve"> PANW's platformized customers (2,280 total) show 120% net retention and single-digit churn, with 80% of new customer acquisitions adopting multiple products. PANW secured 110 net new platformizations in Q3. </w:t>
      </w:r>
      <w:r>
        <w:rPr>
          <w:rFonts w:ascii="Calibri" w:hAnsi="Calibri"/>
          <w:i/>
          <w:color w:val="525866"/>
          <w:sz w:val="22"/>
        </w:rPr>
        <w:t>AXON read-through:</w:t>
      </w:r>
      <w:r>
        <w:rPr>
          <w:rFonts w:ascii="Calibri" w:hAnsi="Calibri"/>
          <w:i/>
          <w:color w:val="525866"/>
          <w:sz w:val="22"/>
        </w:rPr>
        <w:t xml:space="preserve"> Validates AXON's platform strategy — as agencies adopt more AXON products (AI Era Plan, Dedrone, Carbyne, Prepared), the same retention and expansion dynamics should compound. AXON's NRR of 125% already reflects this.</w:t>
      </w:r>
    </w:p>
    <w:p>
      <w:pPr>
        <w:pStyle w:val="ListBullet"/>
        <w:ind w:left="360" w:hanging="360"/>
      </w:pPr>
      <w:r>
        <w:rPr>
          <w:rFonts w:ascii="Calibri" w:hAnsi="Calibri"/>
          <w:b/>
          <w:color w:val="525866"/>
          <w:sz w:val="22"/>
        </w:rPr>
        <w:t>Prisma AIRS (AI security) reached 300 customers in Q3, tripling Q2 count:</w:t>
      </w:r>
      <w:r>
        <w:rPr>
          <w:rFonts w:ascii="Calibri" w:hAnsi="Calibri"/>
          <w:color w:val="525866"/>
          <w:sz w:val="22"/>
        </w:rPr>
        <w:t xml:space="preserve"> PANW's newest AI security product is on track for $100M ARR within a couple of quarters from a standing start. </w:t>
      </w:r>
      <w:r>
        <w:rPr>
          <w:rFonts w:ascii="Calibri" w:hAnsi="Calibri"/>
          <w:i/>
          <w:color w:val="525866"/>
          <w:sz w:val="22"/>
        </w:rPr>
        <w:t>AXON read-through:</w:t>
      </w:r>
      <w:r>
        <w:rPr>
          <w:rFonts w:ascii="Calibri" w:hAnsi="Calibri"/>
          <w:i/>
          <w:color w:val="525866"/>
          <w:sz w:val="22"/>
        </w:rPr>
        <w:t xml:space="preserve"> Demonstrates that AI-native security products can scale rapidly from zero to meaningful ARR — directly analogous to AXON's AI product revenue growing 700%+ YoY in Q1 (from a small base). The trajectory suggests AXON's AI revenue contribution could become material within 2–3 quarters.</w:t>
      </w:r>
    </w:p>
    <w:p>
      <w:pPr>
        <w:pStyle w:val="Heading3"/>
      </w:pPr>
      <w:r>
        <w:rPr>
          <w:rFonts w:ascii="Calibri" w:hAnsi="Calibri"/>
          <w:b/>
          <w:color w:val="3B4259"/>
          <w:sz w:val="24"/>
        </w:rPr>
        <w:t>ServiceNow (NOW) — William Blair Growth Stock Conference (June 3, 2026)</w:t>
      </w:r>
    </w:p>
    <w:p>
      <w:r>
        <w:rPr>
          <w:rFonts w:ascii="Calibri" w:hAnsi="Calibri"/>
          <w:b/>
          <w:i/>
          <w:color w:val="525866"/>
          <w:sz w:val="22"/>
        </w:rPr>
        <w:t>Read-Through Theme: Enterprise AI platform monetization and workflow automation</w:t>
      </w:r>
    </w:p>
    <w:p>
      <w:pPr>
        <w:pStyle w:val="ListBullet"/>
        <w:ind w:left="360" w:hanging="360"/>
      </w:pPr>
      <w:r>
        <w:rPr>
          <w:rFonts w:ascii="Calibri" w:hAnsi="Calibri"/>
          <w:b/>
          <w:color w:val="525866"/>
          <w:sz w:val="22"/>
        </w:rPr>
        <w:t>AI is a tailwind, not a threat, for workflow platforms:</w:t>
      </w:r>
      <w:r>
        <w:rPr>
          <w:rFonts w:ascii="Calibri" w:hAnsi="Calibri"/>
          <w:color w:val="525866"/>
          <w:sz w:val="22"/>
        </w:rPr>
        <w:t xml:space="preserve"> NOW's President Amit Zavery stated AI is "definitely a great technology" and "very, very helpful for automation" — framing AI as a tailwind for workflow orchestration. NOW's AI business is "growing very fast and continues to accelerate." 70% of customers doing AI are now in pre-production or production. </w:t>
      </w:r>
      <w:r>
        <w:rPr>
          <w:rFonts w:ascii="Calibri" w:hAnsi="Calibri"/>
          <w:i/>
          <w:color w:val="525866"/>
          <w:sz w:val="22"/>
        </w:rPr>
        <w:t>AXON read-through:</w:t>
      </w:r>
      <w:r>
        <w:rPr>
          <w:rFonts w:ascii="Calibri" w:hAnsi="Calibri"/>
          <w:i/>
          <w:color w:val="525866"/>
          <w:sz w:val="22"/>
        </w:rPr>
        <w:t xml:space="preserve"> AXON management has explicitly drawn the parallel to ServiceNow's positioning — arguing AXON is resilient to AI disruption due to hardware-driven data moats and deep workflow integration. NOW's experience validates this framing: platforms with deep workflow integration benefit from AI rather than being disrupted by it.</w:t>
      </w:r>
    </w:p>
    <w:p>
      <w:pPr>
        <w:pStyle w:val="ListBullet"/>
        <w:ind w:left="360" w:hanging="360"/>
      </w:pPr>
      <w:r>
        <w:rPr>
          <w:rFonts w:ascii="Calibri" w:hAnsi="Calibri"/>
          <w:b/>
          <w:color w:val="525866"/>
          <w:sz w:val="22"/>
        </w:rPr>
        <w:t>Now Assist AI tier at $1.5B planned ACV, growing fast:</w:t>
      </w:r>
      <w:r>
        <w:rPr>
          <w:rFonts w:ascii="Calibri" w:hAnsi="Calibri"/>
          <w:color w:val="525866"/>
          <w:sz w:val="22"/>
        </w:rPr>
        <w:t xml:space="preserve"> NOW's AI-specific tier (Pro Plus / Now Assist) represents $1.5B in planned ACV for the year, with 50% of net new revenue now non-seat-based. The company raised its Now Assist plan by 50% due to accelerating agentic usage. </w:t>
      </w:r>
      <w:r>
        <w:rPr>
          <w:rFonts w:ascii="Calibri" w:hAnsi="Calibri"/>
          <w:i/>
          <w:color w:val="525866"/>
          <w:sz w:val="22"/>
        </w:rPr>
        <w:t>AXON read-through:</w:t>
      </w:r>
      <w:r>
        <w:rPr>
          <w:rFonts w:ascii="Calibri" w:hAnsi="Calibri"/>
          <w:i/>
          <w:color w:val="525866"/>
          <w:sz w:val="22"/>
        </w:rPr>
        <w:t xml:space="preserve"> Demonstrates that enterprise customers are willing to pay a meaningful premium for AI-embedded workflow tools — directly relevant to AXON's AI Era Plan pricing (approaching $600/user/month in top deals). The attach rate and pricing power dynamics are analogous.</w:t>
      </w:r>
    </w:p>
    <w:p>
      <w:pPr>
        <w:pStyle w:val="ListBullet"/>
        <w:ind w:left="360" w:hanging="360"/>
      </w:pPr>
      <w:r>
        <w:rPr>
          <w:rFonts w:ascii="Calibri" w:hAnsi="Calibri"/>
          <w:b/>
          <w:color w:val="525866"/>
          <w:sz w:val="22"/>
        </w:rPr>
        <w:t>Data moat and context engine create 90–100% accuracy vs. 50–60% for generic AI:</w:t>
      </w:r>
      <w:r>
        <w:rPr>
          <w:rFonts w:ascii="Calibri" w:hAnsi="Calibri"/>
          <w:color w:val="525866"/>
          <w:sz w:val="22"/>
        </w:rPr>
        <w:t xml:space="preserve"> NOW's "Context Engine" — built from 100B workflows and 7T transactions annually — enables AI outcomes that are 90–100% accurate vs. 50–60% for generic models. </w:t>
      </w:r>
      <w:r>
        <w:rPr>
          <w:rFonts w:ascii="Calibri" w:hAnsi="Calibri"/>
          <w:i/>
          <w:color w:val="525866"/>
          <w:sz w:val="22"/>
        </w:rPr>
        <w:t>AXON read-through:</w:t>
      </w:r>
      <w:r>
        <w:rPr>
          <w:rFonts w:ascii="Calibri" w:hAnsi="Calibri"/>
          <w:i/>
          <w:color w:val="525866"/>
          <w:sz w:val="22"/>
        </w:rPr>
        <w:t xml:space="preserve"> AXON's data moat (body camera footage, evidence.com, TASER deployment data) is the direct analog — management has explicitly argued that AXON's AI advantage compounds as data accumulates. NOW's experience validates that data-rich platforms can sustain AI pricing premiums.</w:t>
      </w:r>
    </w:p>
    <w:p>
      <w:pPr>
        <w:pStyle w:val="Heading3"/>
      </w:pPr>
      <w:r>
        <w:rPr>
          <w:rFonts w:ascii="Calibri" w:hAnsi="Calibri"/>
          <w:b/>
          <w:color w:val="3B4259"/>
          <w:sz w:val="24"/>
        </w:rPr>
        <w:t>Booz Allen Hamilton (BAH) — Q4 FY2026 Earnings Call (May 22, 2026)</w:t>
      </w:r>
    </w:p>
    <w:p>
      <w:r>
        <w:rPr>
          <w:rFonts w:ascii="Calibri" w:hAnsi="Calibri"/>
          <w:b/>
          <w:i/>
          <w:color w:val="525866"/>
          <w:sz w:val="22"/>
        </w:rPr>
        <w:t>Read-Through Theme: Federal government technology spending environment and defense tech demand</w:t>
      </w:r>
    </w:p>
    <w:p>
      <w:pPr>
        <w:pStyle w:val="ListBullet"/>
        <w:ind w:left="360" w:hanging="360"/>
      </w:pPr>
      <w:r>
        <w:rPr>
          <w:rFonts w:ascii="Calibri" w:hAnsi="Calibri"/>
          <w:b/>
          <w:color w:val="525866"/>
          <w:sz w:val="22"/>
        </w:rPr>
        <w:t>Federal spending environment improving post-shutdown:</w:t>
      </w:r>
      <w:r>
        <w:rPr>
          <w:rFonts w:ascii="Calibri" w:hAnsi="Calibri"/>
          <w:color w:val="525866"/>
          <w:sz w:val="22"/>
        </w:rPr>
        <w:t xml:space="preserve"> BAH described FY2026 as "the most challenging year we faced as a public company" due to Civil business headwinds, but noted that since January 2026, the funding environment has been "remarkably better" than pre-shutdown. The award environment is "strong, demand is picking up across the entire business." </w:t>
      </w:r>
      <w:r>
        <w:rPr>
          <w:rFonts w:ascii="Calibri" w:hAnsi="Calibri"/>
          <w:i/>
          <w:color w:val="525866"/>
          <w:sz w:val="22"/>
        </w:rPr>
        <w:t>AXON read-through:</w:t>
      </w:r>
      <w:r>
        <w:rPr>
          <w:rFonts w:ascii="Calibri" w:hAnsi="Calibri"/>
          <w:i/>
          <w:color w:val="525866"/>
          <w:sz w:val="22"/>
        </w:rPr>
        <w:t xml:space="preserve"> Positive for AXON's federal/government sales pipeline. If the broader federal procurement environment is normalizing and accelerating, AXON's pending federal contracts (ICE TASER, DHS body cameras) are more likely to advance. BAH's National Security portfolio is expected to drive growth, directly relevant to AXON's law enforcement and homeland security customer base.</w:t>
      </w:r>
    </w:p>
    <w:p>
      <w:pPr>
        <w:pStyle w:val="ListBullet"/>
        <w:ind w:left="360" w:hanging="360"/>
      </w:pPr>
      <w:r>
        <w:rPr>
          <w:rFonts w:ascii="Calibri" w:hAnsi="Calibri"/>
          <w:b/>
          <w:color w:val="525866"/>
          <w:sz w:val="22"/>
        </w:rPr>
        <w:t>Demand for AI-enabled cyber solutions accelerating:</w:t>
      </w:r>
      <w:r>
        <w:rPr>
          <w:rFonts w:ascii="Calibri" w:hAnsi="Calibri"/>
          <w:color w:val="525866"/>
          <w:sz w:val="22"/>
        </w:rPr>
        <w:t xml:space="preserve"> BAH stated "demand for AI-enabled cyber solutions is increasing and will be a major driver in fiscal year 2027 and beyond" and believes "2026 is a year where cyber demand is going to accelerate across all of our markets." OTA (Other Transaction Authority) awards up 50% YoY with pipeline up 90% YoY. </w:t>
      </w:r>
      <w:r>
        <w:rPr>
          <w:rFonts w:ascii="Calibri" w:hAnsi="Calibri"/>
          <w:i/>
          <w:color w:val="525866"/>
          <w:sz w:val="22"/>
        </w:rPr>
        <w:t>AXON read-through:</w:t>
      </w:r>
      <w:r>
        <w:rPr>
          <w:rFonts w:ascii="Calibri" w:hAnsi="Calibri"/>
          <w:i/>
          <w:color w:val="525866"/>
          <w:sz w:val="22"/>
        </w:rPr>
        <w:t xml:space="preserve"> The shift toward outcome-based, fixed-price government contracts (OTAs up 90% in pipeline) is directly favorable for AXON's SaaS-based AI Era Plan — agencies are increasingly comfortable buying technology outcomes rather than traditional cost-plus services.</w:t>
      </w:r>
    </w:p>
    <w:p>
      <w:pPr>
        <w:pStyle w:val="ListBullet"/>
        <w:ind w:left="360" w:hanging="360"/>
      </w:pPr>
      <w:r>
        <w:rPr>
          <w:rFonts w:ascii="Calibri" w:hAnsi="Calibri"/>
          <w:b/>
          <w:color w:val="525866"/>
          <w:sz w:val="22"/>
        </w:rPr>
        <w:t>National Security portfolio driving growth despite Civil headwinds:</w:t>
      </w:r>
      <w:r>
        <w:rPr>
          <w:rFonts w:ascii="Calibri" w:hAnsi="Calibri"/>
          <w:color w:val="525866"/>
          <w:sz w:val="22"/>
        </w:rPr>
        <w:t xml:space="preserve"> BAH won $1.7B of work in Q4 alone in National Security, with the portfolio "well positioned against national security priorities, especially in cyber and defense tech." Civil portfolio continues declining. </w:t>
      </w:r>
      <w:r>
        <w:rPr>
          <w:rFonts w:ascii="Calibri" w:hAnsi="Calibri"/>
          <w:i/>
          <w:color w:val="525866"/>
          <w:sz w:val="22"/>
        </w:rPr>
        <w:t>AXON read-through:</w:t>
      </w:r>
      <w:r>
        <w:rPr>
          <w:rFonts w:ascii="Calibri" w:hAnsi="Calibri"/>
          <w:i/>
          <w:color w:val="525866"/>
          <w:sz w:val="22"/>
        </w:rPr>
        <w:t xml:space="preserve"> AXON's customer base is almost entirely in the National Security / law enforcement / homeland security bucket — the segment BAH says is growing fastest. This is a direct positive read-through for AXON's domestic government demand.</w:t>
      </w:r>
    </w:p>
    <w:p>
      <w:pPr>
        <w:pStyle w:val="Heading3"/>
      </w:pPr>
      <w:r>
        <w:rPr>
          <w:rFonts w:ascii="Calibri" w:hAnsi="Calibri"/>
          <w:b/>
          <w:color w:val="3B4259"/>
          <w:sz w:val="24"/>
        </w:rPr>
        <w:t>CACI International (CACI) — Wells Fargo Conference (June 10, 2026) &amp; BofA Conference (May 12, 2026)</w:t>
      </w:r>
    </w:p>
    <w:p>
      <w:r>
        <w:rPr>
          <w:rFonts w:ascii="Calibri" w:hAnsi="Calibri"/>
          <w:b/>
          <w:i/>
          <w:color w:val="525866"/>
          <w:sz w:val="22"/>
        </w:rPr>
        <w:t>Read-Through Theme: Counter-UAS demand, government defense tech spending, and software-defined systems</w:t>
      </w:r>
    </w:p>
    <w:p>
      <w:pPr>
        <w:pStyle w:val="ListBullet"/>
        <w:ind w:left="360" w:hanging="360"/>
      </w:pPr>
      <w:r>
        <w:rPr>
          <w:rFonts w:ascii="Calibri" w:hAnsi="Calibri"/>
          <w:b/>
          <w:color w:val="525866"/>
          <w:sz w:val="22"/>
        </w:rPr>
        <w:t>Counter-UAS demand is explosive and bipartisan:</w:t>
      </w:r>
      <w:r>
        <w:rPr>
          <w:rFonts w:ascii="Calibri" w:hAnsi="Calibri"/>
          <w:color w:val="525866"/>
          <w:sz w:val="22"/>
        </w:rPr>
        <w:t xml:space="preserve"> CACI's Merlin counter-UAS system is seeing "very strong demand impulses" for sporting events (World Cup), critical infrastructure, and Golden Dome. CACI has deployed Merlin on the southern border and in multiple DoD events. The Golden Dome program involves $350B in reconciliation funds for drone protection of borders, critical infrastructure, and military bases. </w:t>
      </w:r>
      <w:r>
        <w:rPr>
          <w:rFonts w:ascii="Calibri" w:hAnsi="Calibri"/>
          <w:i/>
          <w:color w:val="525866"/>
          <w:sz w:val="22"/>
        </w:rPr>
        <w:t>AXON read-through:</w:t>
      </w:r>
      <w:r>
        <w:rPr>
          <w:rFonts w:ascii="Calibri" w:hAnsi="Calibri"/>
          <w:i/>
          <w:color w:val="525866"/>
          <w:sz w:val="22"/>
        </w:rPr>
        <w:t xml:space="preserve"> Directly validates AXON's Dedrone counter-drone business momentum. If CACI — a $10B defense contractor — is seeing explosive counter-UAS demand, AXON's Dedrone (bookings up 500% YoY in Q1) is well-positioned to capture a significant share of the civilian/law enforcement counter-drone market. The World Cup reference is particularly relevant — AXON's Dedrone protected the 2026 Super Bowl and Kentucky Derby.</w:t>
      </w:r>
    </w:p>
    <w:p>
      <w:pPr>
        <w:pStyle w:val="ListBullet"/>
        <w:ind w:left="360" w:hanging="360"/>
      </w:pPr>
      <w:r>
        <w:rPr>
          <w:rFonts w:ascii="Calibri" w:hAnsi="Calibri"/>
          <w:b/>
          <w:color w:val="525866"/>
          <w:sz w:val="22"/>
        </w:rPr>
        <w:t>Government procurement returning to normal after shutdown:</w:t>
      </w:r>
      <w:r>
        <w:rPr>
          <w:rFonts w:ascii="Calibri" w:hAnsi="Calibri"/>
          <w:color w:val="525866"/>
          <w:sz w:val="22"/>
        </w:rPr>
        <w:t xml:space="preserve"> CACI noted the acquisition mechanism is "returning to normal after the shutdown activities, but is not completely there yet." Despite book-to-bill below 1 for three quarters, CACI has been "beating and raising guidance" due to contract duration and lumpiness. Bid pipeline is "unusually large" at $22B for the next 180 days. </w:t>
      </w:r>
      <w:r>
        <w:rPr>
          <w:rFonts w:ascii="Calibri" w:hAnsi="Calibri"/>
          <w:i/>
          <w:color w:val="525866"/>
          <w:sz w:val="22"/>
        </w:rPr>
        <w:t>AXON read-through:</w:t>
      </w:r>
      <w:r>
        <w:rPr>
          <w:rFonts w:ascii="Calibri" w:hAnsi="Calibri"/>
          <w:i/>
          <w:color w:val="525866"/>
          <w:sz w:val="22"/>
        </w:rPr>
        <w:t xml:space="preserve"> Management's Q1 warning about quarterly bookings lumpiness due to large nine-figure deals is consistent with CACI's experience. The large pipeline ($22B for CACI) suggests the government is actively planning major technology investments — positive for AXON's bookings trajectory.</w:t>
      </w:r>
    </w:p>
    <w:p>
      <w:pPr>
        <w:pStyle w:val="ListBullet"/>
        <w:ind w:left="360" w:hanging="360"/>
      </w:pPr>
      <w:r>
        <w:rPr>
          <w:rFonts w:ascii="Calibri" w:hAnsi="Calibri"/>
          <w:b/>
          <w:color w:val="525866"/>
          <w:sz w:val="22"/>
        </w:rPr>
        <w:t>Software-defined systems are the future of government technology:</w:t>
      </w:r>
      <w:r>
        <w:rPr>
          <w:rFonts w:ascii="Calibri" w:hAnsi="Calibri"/>
          <w:color w:val="525866"/>
          <w:sz w:val="22"/>
        </w:rPr>
        <w:t xml:space="preserve"> CACI emphasized that "the speed of conflict in the future could only really be adequately addressed by software-centric systems" and that the government is willing to pay a premium for products that deliver "90% of what you need today, not 3 years from now." Half of CACI's technology business is on FAR Part 12 (commercial) terms. </w:t>
      </w:r>
      <w:r>
        <w:rPr>
          <w:rFonts w:ascii="Calibri" w:hAnsi="Calibri"/>
          <w:i/>
          <w:color w:val="525866"/>
          <w:sz w:val="22"/>
        </w:rPr>
        <w:t>AXON read-through:</w:t>
      </w:r>
      <w:r>
        <w:rPr>
          <w:rFonts w:ascii="Calibri" w:hAnsi="Calibri"/>
          <w:i/>
          <w:color w:val="525866"/>
          <w:sz w:val="22"/>
        </w:rPr>
        <w:t xml:space="preserve"> Validates AXON's SaaS-first, outcome-based model. The government's willingness to pay commercial premiums for immediate capability delivery is exactly the dynamic AXON is exploiting with its AI Era Plan and bundled platform pricing.</w:t>
      </w:r>
    </w:p>
    <w:p>
      <w:pPr>
        <w:pStyle w:val="Heading3"/>
      </w:pPr>
      <w:r>
        <w:rPr>
          <w:rFonts w:ascii="Calibri" w:hAnsi="Calibri"/>
          <w:b/>
          <w:color w:val="3B4259"/>
          <w:sz w:val="24"/>
        </w:rPr>
        <w:t>Leidos (LDOS) — Q2 2026 Earnings Call (August 4, 2026)</w:t>
      </w:r>
    </w:p>
    <w:p>
      <w:r>
        <w:rPr>
          <w:rFonts w:ascii="Calibri" w:hAnsi="Calibri"/>
          <w:b/>
          <w:i/>
          <w:color w:val="525866"/>
          <w:sz w:val="22"/>
        </w:rPr>
        <w:t>Read-Through Theme: Federal procurement acceleration and defense tech demand heading into H2 2026</w:t>
      </w:r>
    </w:p>
    <w:p>
      <w:pPr>
        <w:pStyle w:val="ListBullet"/>
        <w:ind w:left="360" w:hanging="360"/>
      </w:pPr>
      <w:r>
        <w:rPr>
          <w:rFonts w:ascii="Calibri" w:hAnsi="Calibri"/>
          <w:b/>
          <w:color w:val="525866"/>
          <w:sz w:val="22"/>
        </w:rPr>
        <w:t>Federal procurement activity accelerating into H2 2026:</w:t>
      </w:r>
      <w:r>
        <w:rPr>
          <w:rFonts w:ascii="Calibri" w:hAnsi="Calibri"/>
          <w:color w:val="525866"/>
          <w:sz w:val="22"/>
        </w:rPr>
        <w:t xml:space="preserve"> LDOS stated that "customer procurement activity is beginning to accelerate" and anticipates "continued positive bookings momentum through the rest of this year." Secretary Hegseth projected that the vast majority of unobligated reconciliation funds will be on contract before October 1st. LDOS has ~$23B in proposals awaiting adjudication over the next 3–12 months. </w:t>
      </w:r>
      <w:r>
        <w:rPr>
          <w:rFonts w:ascii="Calibri" w:hAnsi="Calibri"/>
          <w:i/>
          <w:color w:val="525866"/>
          <w:sz w:val="22"/>
        </w:rPr>
        <w:t>AXON read-through:</w:t>
      </w:r>
      <w:r>
        <w:rPr>
          <w:rFonts w:ascii="Calibri" w:hAnsi="Calibri"/>
          <w:i/>
          <w:color w:val="525866"/>
          <w:sz w:val="22"/>
        </w:rPr>
        <w:t xml:space="preserve"> This is the most timely and direct read-through — reported the day before AXON's Q2 earnings. Accelerating federal procurement activity in H2 2026 is directly positive for AXON's pending federal contracts (ICE TASER, DHS body cameras) and its broader government bookings pipeline.</w:t>
      </w:r>
    </w:p>
    <w:p>
      <w:pPr>
        <w:pStyle w:val="ListBullet"/>
        <w:ind w:left="360" w:hanging="360"/>
      </w:pPr>
      <w:r>
        <w:rPr>
          <w:rFonts w:ascii="Calibri" w:hAnsi="Calibri"/>
          <w:b/>
          <w:color w:val="525866"/>
          <w:sz w:val="22"/>
        </w:rPr>
        <w:t>Defense segment posted 2.2x book-to-bill in Q2:</w:t>
      </w:r>
      <w:r>
        <w:rPr>
          <w:rFonts w:ascii="Calibri" w:hAnsi="Calibri"/>
          <w:color w:val="525866"/>
          <w:sz w:val="22"/>
        </w:rPr>
        <w:t xml:space="preserve"> LDOS's defense segment delivered an "exceptional quarter" with accelerated revenue growth, expanded margins, and a 2.2x book-to-bill ratio. Defense is expected to grow double digits in 2026 (excluding airborne ISR transition). LDOS is expanding into counter-UAS capabilities as a new growth engine. </w:t>
      </w:r>
      <w:r>
        <w:rPr>
          <w:rFonts w:ascii="Calibri" w:hAnsi="Calibri"/>
          <w:i/>
          <w:color w:val="525866"/>
          <w:sz w:val="22"/>
        </w:rPr>
        <w:t>AXON read-through:</w:t>
      </w:r>
      <w:r>
        <w:rPr>
          <w:rFonts w:ascii="Calibri" w:hAnsi="Calibri"/>
          <w:i/>
          <w:color w:val="525866"/>
          <w:sz w:val="22"/>
        </w:rPr>
        <w:t xml:space="preserve"> Strong defense bookings momentum at LDOS confirms the broad-based nature of defense tech demand. LDOS explicitly adding counter-UAS as a growth pillar validates the market opportunity AXON is pursuing with Dedrone.</w:t>
      </w:r>
    </w:p>
    <w:p>
      <w:pPr>
        <w:pStyle w:val="ListBullet"/>
        <w:ind w:left="360" w:hanging="360"/>
      </w:pPr>
      <w:r>
        <w:rPr>
          <w:rFonts w:ascii="Calibri" w:hAnsi="Calibri"/>
          <w:b/>
          <w:color w:val="525866"/>
          <w:sz w:val="22"/>
        </w:rPr>
        <w:t>Administration keen on fixed-price, outcome-based contracts:</w:t>
      </w:r>
      <w:r>
        <w:rPr>
          <w:rFonts w:ascii="Calibri" w:hAnsi="Calibri"/>
          <w:color w:val="525866"/>
          <w:sz w:val="22"/>
        </w:rPr>
        <w:t xml:space="preserve"> LDOS noted the administration is "very keen to have fixed price outcome based results" and that this contracting approach "plays well to get those deals done." Homeland segment led all segments with 32% total and 15% organic growth. </w:t>
      </w:r>
      <w:r>
        <w:rPr>
          <w:rFonts w:ascii="Calibri" w:hAnsi="Calibri"/>
          <w:i/>
          <w:color w:val="525866"/>
          <w:sz w:val="22"/>
        </w:rPr>
        <w:t>AXON read-through:</w:t>
      </w:r>
      <w:r>
        <w:rPr>
          <w:rFonts w:ascii="Calibri" w:hAnsi="Calibri"/>
          <w:i/>
          <w:color w:val="525866"/>
          <w:sz w:val="22"/>
        </w:rPr>
        <w:t xml:space="preserve"> AXON's SaaS subscription model is inherently outcome-based and fixed-price — the administration's procurement philosophy is directly aligned with AXON's go-to-market approach. The Homeland segment strength at LDOS (CBP, TSA, border security) is directly relevant to AXON's DHS customer base.</w:t>
      </w:r>
    </w:p>
    <w:p>
      <w:pPr>
        <w:pStyle w:val="ListBullet"/>
        <w:ind w:left="360" w:hanging="360"/>
      </w:pPr>
      <w:r>
        <w:rPr>
          <w:rFonts w:ascii="Calibri" w:hAnsi="Calibri"/>
          <w:b/>
          <w:color w:val="525866"/>
          <w:sz w:val="22"/>
        </w:rPr>
        <w:t>Sovereign AI and trusted mission AI solutions in high demand:</w:t>
      </w:r>
      <w:r>
        <w:rPr>
          <w:rFonts w:ascii="Calibri" w:hAnsi="Calibri"/>
          <w:color w:val="525866"/>
          <w:sz w:val="22"/>
        </w:rPr>
        <w:t xml:space="preserve"> LDOS is positioning its Lighthouse platform as the "preferred provider of secure cloud AI and sovereign AI for the intelligence community." The need for trusted mission AI solutions is growing rapidly. </w:t>
      </w:r>
      <w:r>
        <w:rPr>
          <w:rFonts w:ascii="Calibri" w:hAnsi="Calibri"/>
          <w:i/>
          <w:color w:val="525866"/>
          <w:sz w:val="22"/>
        </w:rPr>
        <w:t>AXON read-through:</w:t>
      </w:r>
      <w:r>
        <w:rPr>
          <w:rFonts w:ascii="Calibri" w:hAnsi="Calibri"/>
          <w:i/>
          <w:color w:val="525866"/>
          <w:sz w:val="22"/>
        </w:rPr>
        <w:t xml:space="preserve"> Validates AXON's positioning as a trusted, compliance-first AI provider for law enforcement. AXON's argument that government compliance requirements create a moat against generic AI disruption is supported by LDOS's experience — agencies are actively seeking sovereign, trusted AI solutions rather than generic commercial AI.</w:t>
      </w:r>
    </w:p>
    <w:p>
      <w:pPr>
        <w:pStyle w:val="Heading3"/>
      </w:pPr>
      <w:r>
        <w:rPr>
          <w:rFonts w:ascii="Calibri" w:hAnsi="Calibri"/>
          <w:b/>
          <w:color w:val="3B4259"/>
          <w:sz w:val="24"/>
        </w:rPr>
        <w:t>SAIC — Q1 FY2027 Earnings Call (June 1, 2026)</w:t>
      </w:r>
    </w:p>
    <w:p>
      <w:r>
        <w:rPr>
          <w:rFonts w:ascii="Calibri" w:hAnsi="Calibri"/>
          <w:b/>
          <w:i/>
          <w:color w:val="525866"/>
          <w:sz w:val="22"/>
        </w:rPr>
        <w:t>Read-Through Theme: Government technology demand trends and AI integration in defense</w:t>
      </w:r>
    </w:p>
    <w:p>
      <w:pPr>
        <w:pStyle w:val="ListBullet"/>
        <w:ind w:left="360" w:hanging="360"/>
      </w:pPr>
      <w:r>
        <w:rPr>
          <w:rFonts w:ascii="Calibri" w:hAnsi="Calibri"/>
          <w:b/>
          <w:color w:val="525866"/>
          <w:sz w:val="22"/>
        </w:rPr>
        <w:t>Customers seeking speed and agility in technology solutions:</w:t>
      </w:r>
      <w:r>
        <w:rPr>
          <w:rFonts w:ascii="Calibri" w:hAnsi="Calibri"/>
          <w:color w:val="525866"/>
          <w:sz w:val="22"/>
        </w:rPr>
        <w:t xml:space="preserve"> SAIC noted "customers are coming to us for speed. They're coming at us for agility" and that "elevated operational tempo is driving faster decision-making in a variety of hardware and software platforms." SAIC is investing in next-generation command and control, radar modernization, and autonomous systems. </w:t>
      </w:r>
      <w:r>
        <w:rPr>
          <w:rFonts w:ascii="Calibri" w:hAnsi="Calibri"/>
          <w:i/>
          <w:color w:val="525866"/>
          <w:sz w:val="22"/>
        </w:rPr>
        <w:t>AXON read-through:</w:t>
      </w:r>
      <w:r>
        <w:rPr>
          <w:rFonts w:ascii="Calibri" w:hAnsi="Calibri"/>
          <w:i/>
          <w:color w:val="525866"/>
          <w:sz w:val="22"/>
        </w:rPr>
        <w:t xml:space="preserve"> The demand for speed and agility in government technology is directly relevant to AXON's value proposition — its integrated platform (body cameras, AI, drones, 911 communications) enables faster decision-making for law enforcement. The "elevated operational tempo" dynamic applies equally to public safety agencies.</w:t>
      </w:r>
    </w:p>
    <w:p>
      <w:pPr>
        <w:pStyle w:val="ListBullet"/>
        <w:ind w:left="360" w:hanging="360"/>
      </w:pPr>
      <w:r>
        <w:rPr>
          <w:rFonts w:ascii="Calibri" w:hAnsi="Calibri"/>
          <w:b/>
          <w:color w:val="525866"/>
          <w:sz w:val="22"/>
        </w:rPr>
        <w:t>AI integration accelerating across defense and intelligence:</w:t>
      </w:r>
      <w:r>
        <w:rPr>
          <w:rFonts w:ascii="Calibri" w:hAnsi="Calibri"/>
          <w:color w:val="525866"/>
          <w:sz w:val="22"/>
        </w:rPr>
        <w:t xml:space="preserve"> SAIC is applying AI to modernize legacy code, generate operational tasking orders, enhance human-machine teaming, and harden cyber defenses. The "infusion of AI into the software is actually moving a little more quickly and has given us a real opportunity to differentiate." </w:t>
      </w:r>
      <w:r>
        <w:rPr>
          <w:rFonts w:ascii="Calibri" w:hAnsi="Calibri"/>
          <w:i/>
          <w:color w:val="525866"/>
          <w:sz w:val="22"/>
        </w:rPr>
        <w:t>AXON read-through:</w:t>
      </w:r>
      <w:r>
        <w:rPr>
          <w:rFonts w:ascii="Calibri" w:hAnsi="Calibri"/>
          <w:i/>
          <w:color w:val="525866"/>
          <w:sz w:val="22"/>
        </w:rPr>
        <w:t xml:space="preserve"> Consistent with AXON's AI strategy — AI is being embedded into existing workflows (Draft One for report writing, AI-assisted evidence review) rather than sold as standalone products. The differentiation dynamic SAIC describes is exactly what AXON is building with Axon Gravity.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open-market sales by CEO Patrick Smith are under a pre-established 10b5-1 plan — routine and not discretionary. The only notable signal is the </w:t>
      </w:r>
      <w:r>
        <w:rPr>
          <w:rFonts w:ascii="Calibri" w:hAnsi="Calibri"/>
          <w:b/>
          <w:color w:val="525866"/>
          <w:sz w:val="22"/>
        </w:rPr>
        <w:t>absence of any open-market buys</w:t>
      </w:r>
      <w:r>
        <w:rPr>
          <w:rFonts w:ascii="Calibri" w:hAnsi="Calibri"/>
          <w:color w:val="525866"/>
          <w:sz w:val="22"/>
        </w:rPr>
        <w:t xml:space="preserve"> by insiders at current elevated price levels (~$490–$640 range during the period), and a single discretionary sale by CLO Isaiah Fields in May. The board RSU grants and tax-withholding transactions are standard compensation mechanics.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Patrick W. Smith</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10,000 shares</w:t>
            </w:r>
          </w:p>
        </w:tc>
        <w:tc>
          <w:tcPr>
            <w:tcW w:type="dxa" w:w="1440"/>
          </w:tcPr>
          <w:p>
            <w:r>
              <w:rPr>
                <w:rFonts w:ascii="Calibri" w:hAnsi="Calibri"/>
                <w:sz w:val="22"/>
              </w:rPr>
              <w:t>Jul 7, 2026</w:t>
            </w:r>
          </w:p>
        </w:tc>
        <w:tc>
          <w:tcPr>
            <w:tcW w:type="dxa" w:w="1440"/>
          </w:tcPr>
          <w:p>
            <w:r>
              <w:rPr>
                <w:rFonts w:ascii="Calibri" w:hAnsi="Calibri"/>
                <w:sz w:val="22"/>
              </w:rPr>
              <w:t>Pre-scheduled 10b5-1 plan; routine. Retains ~3.04M shares.</w:t>
            </w:r>
          </w:p>
        </w:tc>
      </w:tr>
      <w:tr>
        <w:tc>
          <w:tcPr>
            <w:tcW w:type="dxa" w:w="1440"/>
          </w:tcPr>
          <w:p>
            <w:r>
              <w:rPr>
                <w:rFonts w:ascii="Calibri" w:hAnsi="Calibri"/>
                <w:sz w:val="22"/>
              </w:rPr>
              <w:t>Patrick W. Smith</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10,000 shares</w:t>
            </w:r>
          </w:p>
        </w:tc>
        <w:tc>
          <w:tcPr>
            <w:tcW w:type="dxa" w:w="1440"/>
          </w:tcPr>
          <w:p>
            <w:r>
              <w:rPr>
                <w:rFonts w:ascii="Calibri" w:hAnsi="Calibri"/>
                <w:sz w:val="22"/>
              </w:rPr>
              <w:t>Jun 29, 2026</w:t>
            </w:r>
          </w:p>
        </w:tc>
        <w:tc>
          <w:tcPr>
            <w:tcW w:type="dxa" w:w="1440"/>
          </w:tcPr>
          <w:p>
            <w:r>
              <w:rPr>
                <w:rFonts w:ascii="Calibri" w:hAnsi="Calibri"/>
                <w:sz w:val="22"/>
              </w:rPr>
              <w:t>Pre-scheduled 10b5-1 plan; routine. Retains ~3.05M shares.</w:t>
            </w:r>
          </w:p>
        </w:tc>
      </w:tr>
      <w:tr>
        <w:tc>
          <w:tcPr>
            <w:tcW w:type="dxa" w:w="1440"/>
          </w:tcPr>
          <w:p>
            <w:r>
              <w:rPr>
                <w:rFonts w:ascii="Calibri" w:hAnsi="Calibri"/>
                <w:sz w:val="22"/>
              </w:rPr>
              <w:t>Patrick W. Smith</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20,000 shares</w:t>
            </w:r>
          </w:p>
        </w:tc>
        <w:tc>
          <w:tcPr>
            <w:tcW w:type="dxa" w:w="1440"/>
          </w:tcPr>
          <w:p>
            <w:r>
              <w:rPr>
                <w:rFonts w:ascii="Calibri" w:hAnsi="Calibri"/>
                <w:sz w:val="22"/>
              </w:rPr>
              <w:t>Jun 4, 2026</w:t>
            </w:r>
          </w:p>
        </w:tc>
        <w:tc>
          <w:tcPr>
            <w:tcW w:type="dxa" w:w="1440"/>
          </w:tcPr>
          <w:p>
            <w:r>
              <w:rPr>
                <w:rFonts w:ascii="Calibri" w:hAnsi="Calibri"/>
                <w:sz w:val="22"/>
              </w:rPr>
              <w:t>Pre-scheduled 10b5-1 plan; routine. Retains ~3.06M shares.</w:t>
            </w:r>
          </w:p>
        </w:tc>
      </w:tr>
      <w:tr>
        <w:tc>
          <w:tcPr>
            <w:tcW w:type="dxa" w:w="1440"/>
          </w:tcPr>
          <w:p>
            <w:r>
              <w:rPr>
                <w:rFonts w:ascii="Calibri" w:hAnsi="Calibri"/>
                <w:sz w:val="22"/>
              </w:rPr>
              <w:t>Isaiah Fields</w:t>
            </w:r>
          </w:p>
        </w:tc>
        <w:tc>
          <w:tcPr>
            <w:tcW w:type="dxa" w:w="1440"/>
          </w:tcPr>
          <w:p>
            <w:r>
              <w:rPr>
                <w:rFonts w:ascii="Calibri" w:hAnsi="Calibri"/>
                <w:sz w:val="22"/>
              </w:rPr>
              <w:t>Chief Legal Officer</w:t>
            </w:r>
          </w:p>
        </w:tc>
        <w:tc>
          <w:tcPr>
            <w:tcW w:type="dxa" w:w="1440"/>
          </w:tcPr>
          <w:p>
            <w:r>
              <w:rPr>
                <w:rFonts w:ascii="Calibri" w:hAnsi="Calibri"/>
                <w:sz w:val="22"/>
              </w:rPr>
              <w:t>Open Market Sale</w:t>
            </w:r>
          </w:p>
        </w:tc>
        <w:tc>
          <w:tcPr>
            <w:tcW w:type="dxa" w:w="1440"/>
          </w:tcPr>
          <w:p>
            <w:r>
              <w:rPr>
                <w:rFonts w:ascii="Calibri" w:hAnsi="Calibri"/>
                <w:sz w:val="22"/>
              </w:rPr>
              <w:t>2,000 shares</w:t>
            </w:r>
          </w:p>
        </w:tc>
        <w:tc>
          <w:tcPr>
            <w:tcW w:type="dxa" w:w="1440"/>
          </w:tcPr>
          <w:p>
            <w:r>
              <w:rPr>
                <w:rFonts w:ascii="Calibri" w:hAnsi="Calibri"/>
                <w:sz w:val="22"/>
              </w:rPr>
              <w:t>May 22, 2026</w:t>
            </w:r>
          </w:p>
        </w:tc>
        <w:tc>
          <w:tcPr>
            <w:tcW w:type="dxa" w:w="1440"/>
          </w:tcPr>
          <w:p>
            <w:r>
              <w:rPr>
                <w:rFonts w:ascii="Calibri" w:hAnsi="Calibri"/>
                <w:sz w:val="22"/>
              </w:rPr>
              <w:t>Discretionary sale (no 10b5-1 flag); relatively small vs. ~52,813 shares retained.</w:t>
            </w:r>
          </w:p>
        </w:tc>
      </w:tr>
      <w:tr>
        <w:tc>
          <w:tcPr>
            <w:tcW w:type="dxa" w:w="1440"/>
          </w:tcPr>
          <w:p>
            <w:r>
              <w:rPr>
                <w:rFonts w:ascii="Calibri" w:hAnsi="Calibri"/>
                <w:sz w:val="22"/>
              </w:rPr>
              <w:t>Eiso Kant</w:t>
            </w:r>
          </w:p>
        </w:tc>
        <w:tc>
          <w:tcPr>
            <w:tcW w:type="dxa" w:w="1440"/>
          </w:tcPr>
          <w:p>
            <w:r>
              <w:rPr>
                <w:rFonts w:ascii="Calibri" w:hAnsi="Calibri"/>
                <w:sz w:val="22"/>
              </w:rPr>
              <w:t>Director (newly appointed)</w:t>
            </w:r>
          </w:p>
        </w:tc>
        <w:tc>
          <w:tcPr>
            <w:tcW w:type="dxa" w:w="1440"/>
          </w:tcPr>
          <w:p>
            <w:r>
              <w:rPr>
                <w:rFonts w:ascii="Calibri" w:hAnsi="Calibri"/>
                <w:sz w:val="22"/>
              </w:rPr>
              <w:t>RSU Grant (Award)</w:t>
            </w:r>
          </w:p>
        </w:tc>
        <w:tc>
          <w:tcPr>
            <w:tcW w:type="dxa" w:w="1440"/>
          </w:tcPr>
          <w:p>
            <w:r>
              <w:rPr>
                <w:rFonts w:ascii="Calibri" w:hAnsi="Calibri"/>
                <w:sz w:val="22"/>
              </w:rPr>
              <w:t>600 shares</w:t>
            </w:r>
          </w:p>
        </w:tc>
        <w:tc>
          <w:tcPr>
            <w:tcW w:type="dxa" w:w="1440"/>
          </w:tcPr>
          <w:p>
            <w:r>
              <w:rPr>
                <w:rFonts w:ascii="Calibri" w:hAnsi="Calibri"/>
                <w:sz w:val="22"/>
              </w:rPr>
              <w:t>Jul 8, 2026</w:t>
            </w:r>
          </w:p>
        </w:tc>
        <w:tc>
          <w:tcPr>
            <w:tcW w:type="dxa" w:w="1440"/>
          </w:tcPr>
          <w:p>
            <w:r>
              <w:rPr>
                <w:rFonts w:ascii="Calibri" w:hAnsi="Calibri"/>
                <w:sz w:val="22"/>
              </w:rPr>
              <w:t>Initial RSU grant upon board appointment; standard compensation.</w:t>
            </w:r>
          </w:p>
        </w:tc>
      </w:tr>
      <w:tr>
        <w:tc>
          <w:tcPr>
            <w:tcW w:type="dxa" w:w="1440"/>
          </w:tcPr>
          <w:p>
            <w:r>
              <w:rPr>
                <w:rFonts w:ascii="Calibri" w:hAnsi="Calibri"/>
                <w:sz w:val="22"/>
              </w:rPr>
              <w:t>Vivek Mohindra</w:t>
            </w:r>
          </w:p>
        </w:tc>
        <w:tc>
          <w:tcPr>
            <w:tcW w:type="dxa" w:w="1440"/>
          </w:tcPr>
          <w:p>
            <w:r>
              <w:rPr>
                <w:rFonts w:ascii="Calibri" w:hAnsi="Calibri"/>
                <w:sz w:val="22"/>
              </w:rPr>
              <w:t>Director (newly appointed)</w:t>
            </w:r>
          </w:p>
        </w:tc>
        <w:tc>
          <w:tcPr>
            <w:tcW w:type="dxa" w:w="1440"/>
          </w:tcPr>
          <w:p>
            <w:r>
              <w:rPr>
                <w:rFonts w:ascii="Calibri" w:hAnsi="Calibri"/>
                <w:sz w:val="22"/>
              </w:rPr>
              <w:t>RSU Grant (Award)</w:t>
            </w:r>
          </w:p>
        </w:tc>
        <w:tc>
          <w:tcPr>
            <w:tcW w:type="dxa" w:w="1440"/>
          </w:tcPr>
          <w:p>
            <w:r>
              <w:rPr>
                <w:rFonts w:ascii="Calibri" w:hAnsi="Calibri"/>
                <w:sz w:val="22"/>
              </w:rPr>
              <w:t>600 shares</w:t>
            </w:r>
          </w:p>
        </w:tc>
        <w:tc>
          <w:tcPr>
            <w:tcW w:type="dxa" w:w="1440"/>
          </w:tcPr>
          <w:p>
            <w:r>
              <w:rPr>
                <w:rFonts w:ascii="Calibri" w:hAnsi="Calibri"/>
                <w:sz w:val="22"/>
              </w:rPr>
              <w:t>Jul 8, 2026</w:t>
            </w:r>
          </w:p>
        </w:tc>
        <w:tc>
          <w:tcPr>
            <w:tcW w:type="dxa" w:w="1440"/>
          </w:tcPr>
          <w:p>
            <w:r>
              <w:rPr>
                <w:rFonts w:ascii="Calibri" w:hAnsi="Calibri"/>
                <w:sz w:val="22"/>
              </w:rPr>
              <w:t>Initial RSU grant upon board appointment; standard compensation.</w:t>
            </w:r>
          </w:p>
        </w:tc>
      </w:tr>
      <w:tr>
        <w:tc>
          <w:tcPr>
            <w:tcW w:type="dxa" w:w="1440"/>
          </w:tcPr>
          <w:p>
            <w:r>
              <w:rPr>
                <w:rFonts w:ascii="Calibri" w:hAnsi="Calibri"/>
                <w:sz w:val="22"/>
              </w:rPr>
              <w:t>Multiple Directors (9 directors)</w:t>
            </w:r>
          </w:p>
        </w:tc>
        <w:tc>
          <w:tcPr>
            <w:tcW w:type="dxa" w:w="1440"/>
          </w:tcPr>
          <w:p>
            <w:r>
              <w:rPr>
                <w:rFonts w:ascii="Calibri" w:hAnsi="Calibri"/>
                <w:sz w:val="22"/>
              </w:rPr>
              <w:t>Board of Directors</w:t>
            </w:r>
          </w:p>
        </w:tc>
        <w:tc>
          <w:tcPr>
            <w:tcW w:type="dxa" w:w="1440"/>
          </w:tcPr>
          <w:p>
            <w:r>
              <w:rPr>
                <w:rFonts w:ascii="Calibri" w:hAnsi="Calibri"/>
                <w:sz w:val="22"/>
              </w:rPr>
              <w:t>RSU Grant (Award)</w:t>
            </w:r>
          </w:p>
        </w:tc>
        <w:tc>
          <w:tcPr>
            <w:tcW w:type="dxa" w:w="1440"/>
          </w:tcPr>
          <w:p>
            <w:r>
              <w:rPr>
                <w:rFonts w:ascii="Calibri" w:hAnsi="Calibri"/>
                <w:sz w:val="22"/>
              </w:rPr>
              <w:t>611–658 shares each</w:t>
            </w:r>
          </w:p>
        </w:tc>
        <w:tc>
          <w:tcPr>
            <w:tcW w:type="dxa" w:w="1440"/>
          </w:tcPr>
          <w:p>
            <w:r>
              <w:rPr>
                <w:rFonts w:ascii="Calibri" w:hAnsi="Calibri"/>
                <w:sz w:val="22"/>
              </w:rPr>
              <w:t>May 29, 2026</w:t>
            </w:r>
          </w:p>
        </w:tc>
        <w:tc>
          <w:tcPr>
            <w:tcW w:type="dxa" w:w="1440"/>
          </w:tcPr>
          <w:p>
            <w:r>
              <w:rPr>
                <w:rFonts w:ascii="Calibri" w:hAnsi="Calibri"/>
                <w:sz w:val="22"/>
              </w:rPr>
              <w:t>Annual director RSU grants; standard compensation. Recipients include Brown, Kalinowski, Williams, Garnreiter, Morgenfeld, Nardini, Partovi, Smith G., Fields.</w:t>
            </w:r>
          </w:p>
        </w:tc>
      </w:tr>
      <w:tr>
        <w:tc>
          <w:tcPr>
            <w:tcW w:type="dxa" w:w="1440"/>
          </w:tcPr>
          <w:p>
            <w:r>
              <w:rPr>
                <w:rFonts w:ascii="Calibri" w:hAnsi="Calibri"/>
                <w:sz w:val="22"/>
              </w:rPr>
              <w:t>Multiple Officers (7 officers)</w:t>
            </w:r>
          </w:p>
        </w:tc>
        <w:tc>
          <w:tcPr>
            <w:tcW w:type="dxa" w:w="1440"/>
          </w:tcPr>
          <w:p>
            <w:r>
              <w:rPr>
                <w:rFonts w:ascii="Calibri" w:hAnsi="Calibri"/>
                <w:sz w:val="22"/>
              </w:rPr>
              <w:t>COO/CFO, CRO, CHO, CLO, President, CPO/CTO, CAO</w:t>
            </w:r>
          </w:p>
        </w:tc>
        <w:tc>
          <w:tcPr>
            <w:tcW w:type="dxa" w:w="1440"/>
          </w:tcPr>
          <w:p>
            <w:r>
              <w:rPr>
                <w:rFonts w:ascii="Calibri" w:hAnsi="Calibri"/>
                <w:sz w:val="22"/>
              </w:rPr>
              <w:t>Tax Withholding (F-code)</w:t>
            </w:r>
          </w:p>
        </w:tc>
        <w:tc>
          <w:tcPr>
            <w:tcW w:type="dxa" w:w="1440"/>
          </w:tcPr>
          <w:p>
            <w:r>
              <w:rPr>
                <w:rFonts w:ascii="Calibri" w:hAnsi="Calibri"/>
                <w:sz w:val="22"/>
              </w:rPr>
              <w:t>743–32,796 shares each</w:t>
            </w:r>
          </w:p>
        </w:tc>
        <w:tc>
          <w:tcPr>
            <w:tcW w:type="dxa" w:w="1440"/>
          </w:tcPr>
          <w:p>
            <w:r>
              <w:rPr>
                <w:rFonts w:ascii="Calibri" w:hAnsi="Calibri"/>
                <w:sz w:val="22"/>
              </w:rPr>
              <w:t>Jun 1, 2026</w:t>
            </w:r>
          </w:p>
        </w:tc>
        <w:tc>
          <w:tcPr>
            <w:tcW w:type="dxa" w:w="1440"/>
          </w:tcPr>
          <w:p>
            <w:r>
              <w:rPr>
                <w:rFonts w:ascii="Calibri" w:hAnsi="Calibri"/>
                <w:sz w:val="22"/>
              </w:rPr>
              <w:t>Shares withheld for tax on RSU vesting; obligation-driven, not discretionary. Largest: President Isner (32,796 shares).</w:t>
            </w:r>
          </w:p>
        </w:tc>
      </w:tr>
    </w:tbl>
    <w:p>
      <w:r>
        <w:rPr>
          <w:rFonts w:ascii="Calibri" w:hAnsi="Calibri"/>
          <w:i/>
          <w:color w:val="525866"/>
          <w:sz w:val="22"/>
        </w:rPr>
        <w:t xml:space="preserve">Source: SEC Form 4 filings via Insider Transaction Data. </w:t>
      </w:r>
      <w:r>
        <w:rPr>
          <w:rFonts w:ascii="Calibri" w:hAnsi="Calibri"/>
          <w:b/>
          <w:color w:val="525866"/>
          <w:sz w:val="22"/>
        </w:rPr>
        <w:t xml:space="preserve">Summary: </w:t>
      </w:r>
      <w:r>
        <w:rPr>
          <w:rFonts w:ascii="Calibri" w:hAnsi="Calibri"/>
          <w:color w:val="525866"/>
          <w:sz w:val="22"/>
        </w:rPr>
        <w:t>No open-market buys by any insider during the period. CEO Smith's sales are entirely 10b5-1 plan-driven and not a negative signal. The CLO's 2,000-share discretionary sale in May is the only non-plan, non-compensation transaction — too small to be meaningful. The absence of insider buying at current price levels (~$490–$640) is notable but not alarming given the stock's significant appreciation from early 2026 lows. New board members Kant and Mohindra received standard initial RSU grants.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